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eastAsia="zh-CN"/>
        </w:rPr>
        <w:t>福利彩票发行管理中心</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霸州市</w:t>
      </w:r>
      <w:r>
        <w:rPr>
          <w:rFonts w:hint="eastAsia" w:ascii="Times New Roman" w:hAnsi="Times New Roman" w:eastAsia="仿宋_GB2312" w:cs="Times New Roman"/>
          <w:sz w:val="32"/>
          <w:szCs w:val="32"/>
          <w:lang w:eastAsia="zh-CN"/>
        </w:rPr>
        <w:t>福利彩票发行管理中心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根据《霸州市福利彩票发行管理中心职能配置、内设机构和人员编制规定》霸州市福利彩票发行管理中心的主要职责是：</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一、负责对全市福彩投注站点的监督和管理、对投注机器的维修、广告宣传与促销。</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二、负责对新设立站点的考察及销售人员的培训。</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三、指导各投注站做好站点形象建设。</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四、监督所属投注站销售彩票的工作情况。</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五、负责对所属投注站发放宣传品、彩票热敏纸等。</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六、处理各类突发事件。</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七、彩票资金使用及解缴，销售管理下设，技术系统建设运营。</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八、对霸州城乡各投注站点巡查，遇到不合格站点及时督促整改。</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九、为全市各乡镇投注站进行即开票配送。</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我单位内设机构1个，机构规格为股级。</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核定自收自支事业编制4名，其中领导职数1正1副。</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霸州市福利彩票发行管理中心</w:t>
            </w:r>
          </w:p>
        </w:tc>
        <w:tc>
          <w:tcPr>
            <w:tcW w:w="1866"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事业</w:t>
            </w:r>
          </w:p>
        </w:tc>
        <w:tc>
          <w:tcPr>
            <w:tcW w:w="1536"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正股级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财政性资金零补助</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FF0000"/>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lang w:val="en-US" w:eastAsia="zh-CN"/>
        </w:rPr>
        <w:t>霸州市</w:t>
      </w:r>
      <w:r>
        <w:rPr>
          <w:rFonts w:hint="eastAsia" w:ascii="Times New Roman" w:hAnsi="Times New Roman" w:eastAsia="仿宋_GB2312" w:cs="Times New Roman"/>
          <w:sz w:val="32"/>
          <w:szCs w:val="32"/>
          <w:lang w:eastAsia="zh-CN"/>
        </w:rPr>
        <w:t>福利彩票发行管理中心</w:t>
      </w:r>
      <w:r>
        <w:rPr>
          <w:rFonts w:ascii="Times New Roman" w:hAnsi="Times New Roman" w:eastAsia="仿宋_GB2312" w:cs="Times New Roman"/>
          <w:sz w:val="32"/>
          <w:szCs w:val="32"/>
        </w:rPr>
        <w:t>的收支包含在部门预算中。</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200</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200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color w:val="auto"/>
          <w:sz w:val="32"/>
          <w:szCs w:val="32"/>
          <w:lang w:val="en-US" w:eastAsia="zh-CN"/>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eastAsia="zh-CN"/>
        </w:rPr>
        <w:t>福利彩票发行管理中心</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年本部门支出预算</w:t>
      </w:r>
      <w:r>
        <w:rPr>
          <w:rFonts w:hint="eastAsia" w:ascii="仿宋_GB2312" w:hAnsi="Times New Roman" w:eastAsia="仿宋_GB2312" w:cs="Times New Roman"/>
          <w:color w:val="auto"/>
          <w:sz w:val="32"/>
          <w:szCs w:val="32"/>
          <w:lang w:val="en-US" w:eastAsia="zh-CN"/>
        </w:rPr>
        <w:t>200</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w:t>
      </w:r>
      <w:r>
        <w:rPr>
          <w:rFonts w:hint="eastAsia" w:ascii="仿宋_GB2312" w:hAnsi="Times New Roman" w:eastAsia="仿宋_GB2312" w:cs="Times New Roman"/>
          <w:color w:val="auto"/>
          <w:sz w:val="32"/>
          <w:szCs w:val="32"/>
          <w:lang w:val="en-US" w:eastAsia="zh-CN"/>
        </w:rPr>
        <w:t>200</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sz w:val="32"/>
          <w:szCs w:val="32"/>
        </w:rPr>
        <w:t>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eastAsia="zh-CN"/>
        </w:rPr>
        <w:t>福彩销售机构的业务费支出</w:t>
      </w:r>
      <w:r>
        <w:rPr>
          <w:rFonts w:hint="eastAsia" w:ascii="仿宋_GB2312" w:hAnsi="Times New Roman" w:eastAsia="仿宋_GB2312" w:cs="Times New Roman"/>
          <w:sz w:val="32"/>
          <w:szCs w:val="32"/>
        </w:rPr>
        <w:t>；上缴上级支出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仿宋_GB2312" w:hAnsi="Times New Roman" w:eastAsia="仿宋_GB2312" w:cs="Times New Roman"/>
          <w:b/>
          <w:color w:val="FF0000"/>
          <w:sz w:val="32"/>
          <w:szCs w:val="32"/>
        </w:rPr>
      </w:pP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000000" w:themeColor="text1"/>
          <w:sz w:val="32"/>
          <w:szCs w:val="32"/>
          <w:lang w:val="en-US" w:eastAsia="zh-CN"/>
        </w:rPr>
        <w:t>200</w:t>
      </w:r>
      <w:r>
        <w:rPr>
          <w:rFonts w:hint="eastAsia" w:ascii="仿宋_GB2312" w:hAnsi="Times New Roman" w:eastAsia="仿宋_GB2312" w:cs="Times New Roman"/>
          <w:color w:val="000000" w:themeColor="text1"/>
          <w:sz w:val="32"/>
          <w:szCs w:val="32"/>
        </w:rPr>
        <w:t>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预算</w:t>
      </w:r>
      <w:r>
        <w:rPr>
          <w:rFonts w:hint="eastAsia" w:ascii="仿宋_GB2312" w:hAnsi="Times New Roman" w:eastAsia="仿宋_GB2312" w:cs="Times New Roman"/>
          <w:color w:val="000000" w:themeColor="text1"/>
          <w:sz w:val="32"/>
          <w:szCs w:val="32"/>
          <w:highlight w:val="none"/>
        </w:rPr>
        <w:t>减少</w:t>
      </w:r>
      <w:r>
        <w:rPr>
          <w:rFonts w:hint="eastAsia" w:ascii="仿宋_GB2312" w:hAnsi="Times New Roman" w:eastAsia="仿宋_GB2312" w:cs="Times New Roman"/>
          <w:color w:val="000000" w:themeColor="text1"/>
          <w:sz w:val="32"/>
          <w:szCs w:val="32"/>
          <w:lang w:val="en-US" w:eastAsia="zh-CN"/>
        </w:rPr>
        <w:t>30.26</w:t>
      </w:r>
      <w:r>
        <w:rPr>
          <w:rFonts w:hint="eastAsia" w:ascii="仿宋_GB2312" w:hAnsi="Times New Roman" w:eastAsia="仿宋_GB2312" w:cs="Times New Roman"/>
          <w:color w:val="000000" w:themeColor="text1"/>
          <w:sz w:val="32"/>
          <w:szCs w:val="32"/>
        </w:rPr>
        <w:t>万元，其中：基本支出</w:t>
      </w:r>
      <w:r>
        <w:rPr>
          <w:rFonts w:hint="eastAsia" w:ascii="仿宋_GB2312" w:hAnsi="Times New Roman" w:eastAsia="仿宋_GB2312" w:cs="Times New Roman"/>
          <w:color w:val="000000" w:themeColor="text1"/>
          <w:sz w:val="32"/>
          <w:szCs w:val="32"/>
          <w:highlight w:val="none"/>
        </w:rPr>
        <w:t>减少</w:t>
      </w:r>
      <w:r>
        <w:rPr>
          <w:rFonts w:hint="eastAsia" w:ascii="仿宋_GB2312" w:hAnsi="Times New Roman" w:eastAsia="仿宋_GB2312" w:cs="Times New Roman"/>
          <w:color w:val="000000" w:themeColor="text1"/>
          <w:sz w:val="32"/>
          <w:szCs w:val="32"/>
          <w:lang w:val="en-US" w:eastAsia="zh-CN"/>
        </w:rPr>
        <w:t>0</w:t>
      </w:r>
      <w:r>
        <w:rPr>
          <w:rFonts w:hint="eastAsia" w:ascii="仿宋_GB2312" w:hAnsi="Times New Roman" w:eastAsia="仿宋_GB2312" w:cs="Times New Roman"/>
          <w:color w:val="000000" w:themeColor="text1"/>
          <w:sz w:val="32"/>
          <w:szCs w:val="32"/>
        </w:rPr>
        <w:t>万元；项目支出</w:t>
      </w:r>
      <w:r>
        <w:rPr>
          <w:rFonts w:hint="eastAsia" w:ascii="仿宋_GB2312" w:hAnsi="Times New Roman" w:eastAsia="仿宋_GB2312" w:cs="Times New Roman"/>
          <w:color w:val="000000" w:themeColor="text1"/>
          <w:sz w:val="32"/>
          <w:szCs w:val="32"/>
          <w:highlight w:val="none"/>
        </w:rPr>
        <w:t>减少</w:t>
      </w:r>
      <w:r>
        <w:rPr>
          <w:rFonts w:hint="eastAsia" w:ascii="仿宋_GB2312" w:hAnsi="Times New Roman" w:eastAsia="仿宋_GB2312" w:cs="Times New Roman"/>
          <w:color w:val="000000" w:themeColor="text1"/>
          <w:sz w:val="32"/>
          <w:szCs w:val="32"/>
          <w:lang w:val="en-US" w:eastAsia="zh-CN"/>
        </w:rPr>
        <w:t>30.26</w:t>
      </w:r>
      <w:r>
        <w:rPr>
          <w:rFonts w:hint="eastAsia" w:ascii="仿宋_GB2312" w:hAnsi="Times New Roman" w:eastAsia="仿宋_GB2312" w:cs="Times New Roman"/>
          <w:color w:val="000000" w:themeColor="text1"/>
          <w:sz w:val="32"/>
          <w:szCs w:val="32"/>
        </w:rPr>
        <w:t>万元，主要为</w:t>
      </w:r>
      <w:r>
        <w:rPr>
          <w:rFonts w:hint="eastAsia" w:ascii="仿宋_GB2312" w:hAnsi="Times New Roman" w:eastAsia="仿宋_GB2312" w:cs="Times New Roman"/>
          <w:color w:val="000000" w:themeColor="text1"/>
          <w:sz w:val="32"/>
          <w:szCs w:val="32"/>
          <w:highlight w:val="none"/>
        </w:rPr>
        <w:t>减少</w:t>
      </w:r>
      <w:r>
        <w:rPr>
          <w:rFonts w:hint="eastAsia" w:ascii="仿宋_GB2312" w:hAnsi="Times New Roman" w:eastAsia="仿宋_GB2312" w:cs="Times New Roman"/>
          <w:color w:val="000000" w:themeColor="text1"/>
          <w:sz w:val="32"/>
          <w:szCs w:val="32"/>
          <w:lang w:eastAsia="zh-CN"/>
        </w:rPr>
        <w:t>租赁费与其他商品和服务支出</w:t>
      </w:r>
      <w:r>
        <w:rPr>
          <w:rFonts w:hint="eastAsia" w:ascii="仿宋_GB2312" w:hAnsi="Times New Roman" w:eastAsia="仿宋_GB2312" w:cs="Times New Roman"/>
          <w:color w:val="000000" w:themeColor="text1"/>
          <w:sz w:val="32"/>
          <w:szCs w:val="32"/>
        </w:rPr>
        <w:t>项目支出。</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2021年，我部门</w:t>
      </w:r>
      <w:r>
        <w:rPr>
          <w:rFonts w:hint="eastAsia" w:ascii="仿宋_GB2312" w:hAnsi="Times New Roman" w:eastAsia="仿宋_GB2312" w:cs="Times New Roman"/>
          <w:sz w:val="32"/>
          <w:szCs w:val="32"/>
        </w:rPr>
        <w:t>运行经费共计安排</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万元，主要用于办公区的日常维修、办公用房水电费、办公用房取暖费、办公及印刷费，邮电费、差旅费、会议费、专用材料及一般设备购置费、公务用车运行维护费等日常运行支出。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b w:val="0"/>
          <w:bCs/>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万元，较20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年“三公”经费</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10</w:t>
      </w:r>
      <w:r>
        <w:rPr>
          <w:rFonts w:hint="eastAsia" w:ascii="仿宋_GB2312" w:hAnsi="Times New Roman" w:eastAsia="仿宋_GB2312" w:cs="Times New Roman"/>
          <w:sz w:val="32"/>
          <w:szCs w:val="32"/>
        </w:rPr>
        <w:t>万元，</w:t>
      </w:r>
      <w:r>
        <w:rPr>
          <w:rFonts w:hint="eastAsia" w:ascii="仿宋_GB2312" w:hAnsi="Times New Roman" w:eastAsia="仿宋_GB2312" w:cs="Times New Roman"/>
          <w:b w:val="0"/>
          <w:bCs/>
          <w:color w:val="auto"/>
          <w:sz w:val="32"/>
          <w:szCs w:val="32"/>
        </w:rPr>
        <w:t>增加原因为</w:t>
      </w:r>
      <w:r>
        <w:rPr>
          <w:rFonts w:ascii="仿宋_GB2312" w:hAnsi="Times New Roman" w:eastAsia="仿宋_GB2312" w:cs="Times New Roman"/>
          <w:b w:val="0"/>
          <w:bCs/>
          <w:color w:val="auto"/>
          <w:sz w:val="32"/>
          <w:szCs w:val="32"/>
        </w:rPr>
        <w:t>我部门</w:t>
      </w:r>
      <w:r>
        <w:rPr>
          <w:rFonts w:hint="eastAsia" w:ascii="仿宋_GB2312" w:hAnsi="Times New Roman" w:eastAsia="仿宋_GB2312" w:cs="Times New Roman"/>
          <w:b w:val="0"/>
          <w:bCs/>
          <w:color w:val="auto"/>
          <w:sz w:val="32"/>
          <w:szCs w:val="32"/>
        </w:rPr>
        <w:t>有一辆</w:t>
      </w:r>
      <w:r>
        <w:rPr>
          <w:rFonts w:ascii="仿宋_GB2312" w:hAnsi="Times New Roman" w:eastAsia="仿宋_GB2312" w:cs="Times New Roman"/>
          <w:b w:val="0"/>
          <w:bCs/>
          <w:color w:val="auto"/>
          <w:sz w:val="32"/>
          <w:szCs w:val="32"/>
        </w:rPr>
        <w:t>公务用车</w:t>
      </w:r>
      <w:r>
        <w:rPr>
          <w:rFonts w:hint="eastAsia" w:ascii="仿宋_GB2312" w:hAnsi="Times New Roman" w:eastAsia="仿宋_GB2312" w:cs="Times New Roman"/>
          <w:b w:val="0"/>
          <w:bCs/>
          <w:color w:val="auto"/>
          <w:sz w:val="32"/>
          <w:szCs w:val="32"/>
        </w:rPr>
        <w:t>到达</w:t>
      </w:r>
      <w:r>
        <w:rPr>
          <w:rFonts w:ascii="仿宋_GB2312" w:hAnsi="Times New Roman" w:eastAsia="仿宋_GB2312" w:cs="Times New Roman"/>
          <w:b w:val="0"/>
          <w:bCs/>
          <w:color w:val="auto"/>
          <w:sz w:val="32"/>
          <w:szCs w:val="32"/>
        </w:rPr>
        <w:t>报废更新条件，本年度需要</w:t>
      </w:r>
      <w:r>
        <w:rPr>
          <w:rFonts w:hint="eastAsia" w:ascii="仿宋_GB2312" w:hAnsi="Times New Roman" w:eastAsia="仿宋_GB2312" w:cs="Times New Roman"/>
          <w:b w:val="0"/>
          <w:bCs/>
          <w:color w:val="auto"/>
          <w:sz w:val="32"/>
          <w:szCs w:val="32"/>
        </w:rPr>
        <w:t>更新</w:t>
      </w:r>
      <w:r>
        <w:rPr>
          <w:rFonts w:hint="eastAsia" w:ascii="仿宋_GB2312" w:hAnsi="Times New Roman" w:eastAsia="仿宋_GB2312" w:cs="Times New Roman"/>
          <w:b w:val="0"/>
          <w:bCs/>
          <w:sz w:val="32"/>
          <w:szCs w:val="32"/>
          <w:lang w:val="en-US"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pStyle w:val="1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Style w:val="16"/>
          <w:rFonts w:hint="eastAsia" w:ascii="仿宋_GB2312" w:hAnsi="仿宋_GB2312" w:eastAsia="仿宋_GB2312" w:cs="仿宋_GB2312"/>
        </w:rPr>
      </w:pPr>
      <w:r>
        <w:rPr>
          <w:rStyle w:val="16"/>
          <w:rFonts w:hint="eastAsia" w:ascii="仿宋_GB2312" w:hAnsi="仿宋_GB2312" w:eastAsia="仿宋_GB2312" w:cs="仿宋_GB2312"/>
        </w:rPr>
        <w:t>结合霸州市福利彩票发行中心的部门职责，确立我中心总体绩效目标是：负责对全市福彩投注站的监督和管理；机器维修维护；广告宣传促销；负责对新建立站点的考察及销售人员的培训；指导各投注站做好站点形象建设；监督所属投注站销售彩票工作情况；负责对所属投注站发放宣传品彩票热敏纸等；指导所属投注站处理各种突发事件。</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pStyle w:val="15"/>
        <w:tabs>
          <w:tab w:val="left" w:pos="97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520" w:lineRule="exact"/>
        <w:ind w:firstLine="960" w:firstLineChars="300"/>
        <w:rPr>
          <w:rFonts w:hint="eastAsia" w:ascii="仿宋_GB2312" w:hAnsi="仿宋_GB2312" w:eastAsia="仿宋_GB2312" w:cs="仿宋_GB2312"/>
          <w:b w:val="0"/>
          <w:bCs/>
        </w:rPr>
      </w:pPr>
      <w:r>
        <w:rPr>
          <w:rFonts w:hint="eastAsia" w:ascii="仿宋_GB2312" w:hAnsi="仿宋_GB2312" w:eastAsia="仿宋_GB2312" w:cs="仿宋_GB2312"/>
          <w:b w:val="0"/>
          <w:bCs/>
          <w:sz w:val="32"/>
          <w:lang w:val="en-US" w:eastAsia="zh-CN"/>
        </w:rPr>
        <w:t>1、</w:t>
      </w:r>
      <w:r>
        <w:rPr>
          <w:rFonts w:hint="eastAsia" w:ascii="仿宋_GB2312" w:hAnsi="仿宋_GB2312" w:eastAsia="仿宋_GB2312" w:cs="仿宋_GB2312"/>
          <w:b w:val="0"/>
          <w:bCs/>
          <w:sz w:val="32"/>
        </w:rPr>
        <w:t>广告宣传与促销。</w:t>
      </w:r>
    </w:p>
    <w:p>
      <w:pPr>
        <w:pStyle w:val="15"/>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20" w:lineRule="exact"/>
        <w:ind w:left="643" w:firstLine="640"/>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绩效目标：通过对彩票销售的宣传与促销，提高彩民对福彩的认知度,促进福彩销量。</w:t>
      </w:r>
    </w:p>
    <w:p>
      <w:pPr>
        <w:pStyle w:val="15"/>
        <w:tabs>
          <w:tab w:val="left" w:pos="97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520" w:lineRule="exact"/>
        <w:ind w:firstLine="1280"/>
        <w:rPr>
          <w:rFonts w:hint="eastAsia" w:ascii="仿宋_GB2312" w:hAnsi="仿宋_GB2312" w:eastAsia="仿宋_GB2312" w:cs="仿宋_GB2312"/>
          <w:b w:val="0"/>
          <w:bCs/>
        </w:rPr>
      </w:pPr>
      <w:r>
        <w:rPr>
          <w:rFonts w:hint="eastAsia" w:ascii="仿宋_GB2312" w:hAnsi="仿宋_GB2312" w:eastAsia="仿宋_GB2312" w:cs="仿宋_GB2312"/>
          <w:b w:val="0"/>
          <w:bCs/>
          <w:sz w:val="32"/>
        </w:rPr>
        <w:t>绩效指标：对霸州福彩中心旗下136个电脑票站点与即开票两类票种进行广告宣传与促销活动，提高福利彩票的认知度。</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960" w:firstLineChars="300"/>
        <w:rPr>
          <w:rFonts w:hint="eastAsia" w:ascii="仿宋_GB2312" w:hAnsi="仿宋_GB2312" w:eastAsia="仿宋_GB2312" w:cs="仿宋_GB2312"/>
          <w:b w:val="0"/>
          <w:bCs/>
          <w:sz w:val="32"/>
        </w:rPr>
      </w:pPr>
      <w:r>
        <w:rPr>
          <w:rFonts w:hint="eastAsia" w:ascii="仿宋_GB2312" w:hAnsi="仿宋_GB2312" w:eastAsia="仿宋_GB2312" w:cs="仿宋_GB2312"/>
          <w:b w:val="0"/>
          <w:bCs/>
          <w:sz w:val="32"/>
          <w:lang w:val="en-US" w:eastAsia="zh-CN"/>
        </w:rPr>
        <w:t>2、</w:t>
      </w:r>
      <w:r>
        <w:rPr>
          <w:rFonts w:hint="eastAsia" w:ascii="仿宋_GB2312" w:hAnsi="仿宋_GB2312" w:eastAsia="仿宋_GB2312" w:cs="仿宋_GB2312"/>
          <w:b w:val="0"/>
          <w:bCs/>
          <w:sz w:val="32"/>
        </w:rPr>
        <w:t>中大奖宣传</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640"/>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绩效目标：通过中大奖宣传，达到对福彩销售的促进。</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0" w:firstLine="640"/>
        <w:rPr>
          <w:rFonts w:hint="eastAsia" w:ascii="仿宋_GB2312" w:hAnsi="仿宋_GB2312" w:eastAsia="仿宋_GB2312" w:cs="仿宋_GB2312"/>
          <w:b w:val="0"/>
          <w:bCs/>
        </w:rPr>
      </w:pPr>
      <w:r>
        <w:rPr>
          <w:rFonts w:hint="eastAsia" w:ascii="仿宋_GB2312" w:hAnsi="仿宋_GB2312" w:eastAsia="仿宋_GB2312" w:cs="仿宋_GB2312"/>
          <w:b w:val="0"/>
          <w:bCs/>
          <w:sz w:val="32"/>
        </w:rPr>
        <w:t>绩效指标：当彩民中得双色球一等奖（500万元）、二等奖（奖金浮动）、即开票一等奖、宣传会在全市136个投注站点张贴横幅，中得大奖站点搭建拱门进行宣传活动。</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960" w:firstLineChars="300"/>
        <w:rPr>
          <w:rFonts w:hint="eastAsia" w:ascii="仿宋_GB2312" w:hAnsi="仿宋_GB2312" w:eastAsia="仿宋_GB2312" w:cs="仿宋_GB2312"/>
          <w:b w:val="0"/>
          <w:bCs/>
          <w:sz w:val="32"/>
        </w:rPr>
      </w:pPr>
      <w:r>
        <w:rPr>
          <w:rFonts w:hint="eastAsia" w:ascii="仿宋_GB2312" w:hAnsi="仿宋_GB2312" w:eastAsia="仿宋_GB2312" w:cs="仿宋_GB2312"/>
          <w:b w:val="0"/>
          <w:bCs/>
          <w:sz w:val="32"/>
          <w:lang w:val="en-US" w:eastAsia="zh-CN"/>
        </w:rPr>
        <w:t>3、</w:t>
      </w:r>
      <w:r>
        <w:rPr>
          <w:rFonts w:hint="eastAsia" w:ascii="仿宋_GB2312" w:hAnsi="仿宋_GB2312" w:eastAsia="仿宋_GB2312" w:cs="仿宋_GB2312"/>
          <w:b w:val="0"/>
          <w:bCs/>
          <w:sz w:val="32"/>
        </w:rPr>
        <w:t>提高各站主和销售员专业素养</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0" w:firstLine="640"/>
        <w:rPr>
          <w:rFonts w:hint="eastAsia" w:ascii="仿宋_GB2312" w:hAnsi="仿宋_GB2312" w:eastAsia="仿宋_GB2312" w:cs="仿宋_GB2312"/>
          <w:b w:val="0"/>
          <w:bCs/>
          <w:color w:val="000000"/>
          <w:sz w:val="32"/>
        </w:rPr>
      </w:pPr>
      <w:r>
        <w:rPr>
          <w:rFonts w:hint="eastAsia" w:ascii="仿宋_GB2312" w:hAnsi="仿宋_GB2312" w:eastAsia="仿宋_GB2312" w:cs="仿宋_GB2312"/>
          <w:b w:val="0"/>
          <w:bCs/>
          <w:sz w:val="32"/>
        </w:rPr>
        <w:t>绩效目标：</w:t>
      </w:r>
      <w:r>
        <w:rPr>
          <w:rFonts w:hint="eastAsia" w:ascii="仿宋_GB2312" w:hAnsi="仿宋_GB2312" w:eastAsia="仿宋_GB2312" w:cs="仿宋_GB2312"/>
          <w:b w:val="0"/>
          <w:bCs/>
          <w:color w:val="000000"/>
          <w:sz w:val="32"/>
        </w:rPr>
        <w:t>通过对各站站主及销售员的培训，使各投注站品牌文化知识及专业素养提高。</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700"/>
        <w:rPr>
          <w:rFonts w:hint="eastAsia" w:ascii="仿宋_GB2312" w:hAnsi="仿宋_GB2312" w:eastAsia="仿宋_GB2312" w:cs="仿宋_GB2312"/>
          <w:b w:val="0"/>
          <w:bCs/>
          <w:color w:val="000000"/>
          <w:sz w:val="32"/>
        </w:rPr>
      </w:pPr>
      <w:r>
        <w:rPr>
          <w:rFonts w:hint="eastAsia" w:ascii="仿宋_GB2312" w:hAnsi="仿宋_GB2312" w:eastAsia="仿宋_GB2312" w:cs="仿宋_GB2312"/>
          <w:b w:val="0"/>
          <w:bCs/>
          <w:color w:val="000000"/>
          <w:sz w:val="32"/>
        </w:rPr>
        <w:t>绩效指标：为全市136个投注站点的站主或销售员提供专业技能的培训指导，提高福利彩票在彩民心中的形象，提高彩民满意度与站主满意度。</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0" w:leftChars="0" w:firstLine="960" w:firstLineChars="300"/>
        <w:rPr>
          <w:rFonts w:hint="eastAsia" w:ascii="仿宋_GB2312" w:hAnsi="仿宋_GB2312" w:eastAsia="仿宋_GB2312" w:cs="仿宋_GB2312"/>
          <w:b w:val="0"/>
          <w:bCs/>
          <w:sz w:val="32"/>
        </w:rPr>
      </w:pPr>
      <w:r>
        <w:rPr>
          <w:rFonts w:hint="eastAsia" w:ascii="仿宋_GB2312" w:hAnsi="仿宋_GB2312" w:eastAsia="仿宋_GB2312" w:cs="仿宋_GB2312"/>
          <w:b w:val="0"/>
          <w:bCs/>
          <w:sz w:val="32"/>
          <w:lang w:val="en-US" w:eastAsia="zh-CN"/>
        </w:rPr>
        <w:t>4、</w:t>
      </w:r>
      <w:r>
        <w:rPr>
          <w:rFonts w:hint="eastAsia" w:ascii="仿宋_GB2312" w:hAnsi="仿宋_GB2312" w:eastAsia="仿宋_GB2312" w:cs="仿宋_GB2312"/>
          <w:b w:val="0"/>
          <w:bCs/>
          <w:sz w:val="32"/>
        </w:rPr>
        <w:t>对霸州城乡各站点巡查督导</w:t>
      </w:r>
    </w:p>
    <w:p>
      <w:pPr>
        <w:pStyle w:val="15"/>
        <w:tabs>
          <w:tab w:val="left" w:pos="840"/>
          <w:tab w:val="left" w:pos="1242"/>
          <w:tab w:val="left" w:pos="1680"/>
          <w:tab w:val="left" w:pos="2520"/>
          <w:tab w:val="left" w:pos="3360"/>
          <w:tab w:val="left" w:pos="4200"/>
          <w:tab w:val="left" w:pos="5040"/>
          <w:tab w:val="left" w:pos="5880"/>
        </w:tabs>
        <w:rPr>
          <w:rFonts w:hint="eastAsia" w:ascii="仿宋_GB2312" w:hAnsi="仿宋_GB2312" w:eastAsia="仿宋_GB2312" w:cs="仿宋_GB2312"/>
          <w:b w:val="0"/>
          <w:bCs/>
        </w:rPr>
      </w:pPr>
      <w:r>
        <w:rPr>
          <w:rFonts w:hint="eastAsia" w:ascii="仿宋_GB2312" w:hAnsi="仿宋_GB2312" w:eastAsia="仿宋_GB2312" w:cs="仿宋_GB2312"/>
          <w:b w:val="0"/>
          <w:bCs/>
          <w:lang w:eastAsia="zh-CN"/>
        </w:rPr>
        <w:tab/>
      </w:r>
      <w:r>
        <w:rPr>
          <w:rFonts w:hint="eastAsia" w:ascii="仿宋_GB2312" w:hAnsi="仿宋_GB2312" w:eastAsia="仿宋_GB2312" w:cs="仿宋_GB2312"/>
          <w:b w:val="0"/>
          <w:bCs/>
          <w:sz w:val="32"/>
        </w:rPr>
        <w:t>绩效目标:通过对霸州城乡各投注站点巡查，及时发现问题处理各类突发事件。</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643"/>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绩效指标：对全市136个投注站点，进行全方位巡查督导，包括站点形象建设情况、即开票展示率等，依次为站点进行评星活动，择优奖赏。另外发现问题及时处理问题，提高处理突发事件的及时率，把安全隐患出现率降到最低。</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0" w:leftChars="0" w:firstLine="960" w:firstLineChars="300"/>
        <w:rPr>
          <w:rFonts w:hint="eastAsia" w:ascii="仿宋_GB2312" w:hAnsi="仿宋_GB2312" w:eastAsia="仿宋_GB2312" w:cs="仿宋_GB2312"/>
          <w:b w:val="0"/>
          <w:bCs/>
          <w:sz w:val="32"/>
        </w:rPr>
      </w:pPr>
      <w:r>
        <w:rPr>
          <w:rFonts w:hint="eastAsia" w:ascii="仿宋_GB2312" w:hAnsi="仿宋_GB2312" w:eastAsia="仿宋_GB2312" w:cs="仿宋_GB2312"/>
          <w:b w:val="0"/>
          <w:bCs/>
          <w:sz w:val="32"/>
          <w:lang w:val="en-US" w:eastAsia="zh-CN"/>
        </w:rPr>
        <w:t>5、</w:t>
      </w:r>
      <w:r>
        <w:rPr>
          <w:rFonts w:hint="eastAsia" w:ascii="仿宋_GB2312" w:hAnsi="仿宋_GB2312" w:eastAsia="仿宋_GB2312" w:cs="仿宋_GB2312"/>
          <w:b w:val="0"/>
          <w:bCs/>
          <w:sz w:val="32"/>
        </w:rPr>
        <w:t>保障工作人员工资及时顺利发放</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_GB2312" w:hAnsi="仿宋_GB2312" w:eastAsia="仿宋_GB2312" w:cs="仿宋_GB2312"/>
          <w:b w:val="0"/>
          <w:bCs/>
        </w:rPr>
      </w:pPr>
      <w:r>
        <w:rPr>
          <w:rFonts w:hint="eastAsia" w:ascii="仿宋_GB2312" w:hAnsi="仿宋_GB2312" w:eastAsia="仿宋_GB2312" w:cs="仿宋_GB2312"/>
          <w:b w:val="0"/>
          <w:bCs/>
          <w:sz w:val="32"/>
        </w:rPr>
        <w:t>绩效目标：通过对工作人员及时发放工资，达到提高工作人员工作效率与满意度。</w:t>
      </w:r>
    </w:p>
    <w:p>
      <w:pPr>
        <w:pStyle w:val="14"/>
        <w:widowControl/>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 xml:space="preserve">    绩效指标：对3个财补人员、1个退休人员、4个劳务派遣人员工资及保险及时发放，使工作人员满意度大于90%。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完善制度建设</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完善对各投注站的每月考核标准与奖惩细则，逐一细化了考核项目，做到公开、公正、公平的原则，通过每月对全市136个投注站巡回检查，督促各投注站点做好福彩形象建设，激发各站主销售积极性。</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进一步优化《霸州市福彩中心福利彩票投注站暂行管理办法》，夯实电脑票管理制度，整肃投注站点，提升站内环境和电脑票的市场占有率。</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加强支出管理</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2021年度我单位采购一辆业务用车，用于对全市及各乡镇投注站点的巡查工作，我单位严格按照政府采购手续，按规定及时合理的完成支出进度。</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在发放人员工资方面，保证人员工资按月及时且足额的发到人员手中。</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2020年由于疫情影响，为彩票销售带来很大的影响，2021年更是艰巨的一年，2021年以即开票为突破口，重点对即开票进行宣传促销活动，努力完成2021年度的销售额。</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加强绩效运行监控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绩效运行过程中的监控措施，资金使用公开公透明的原则，保障福彩机构的正常运转，对各投注站人员进行培训。发现问题及时整改，激发各站主销售积极性，努力使霸州福彩公益形象和销量上升一个新的高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做好绩效自评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已过去，结合2020年度整体工作情况进行总结，对2020年度做好绩效自评。由于疫情原因，2020年度福彩全市各投注站站点售票时间没有达到预期水平，福彩销量稳中有退，各站主满意度总体满意；对各类突发事件，也及时处理；各投注站点形象建设符合中心标准，对站点出现的各类问题，及时通报整改。因此2020年度绩效运行总体良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规范资金管理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为了坚强资金使用情况，我中心</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一系列管理制度。包括重大资金使用的审批流程与审批手续，做到资金使用公开更透明，确保把每一笔钱用在刀刃上。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加强内部监督</w:t>
      </w:r>
    </w:p>
    <w:p>
      <w:pPr>
        <w:pStyle w:val="17"/>
        <w:spacing w:line="360" w:lineRule="auto"/>
        <w:ind w:lef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我中心财务部门严格按照规章程序，对各部门使用的每一笔钱，做到严格审查，合理审批的原则。不该花的钱坚决不批，花出去的钱，做好实时监控。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加强宣传与培训</w:t>
      </w:r>
    </w:p>
    <w:p>
      <w:pPr>
        <w:ind w:firstLine="640" w:firstLineChars="200"/>
        <w:rPr>
          <w:rFonts w:ascii="仿宋_GB2312" w:hAnsi="Times New Roman" w:eastAsia="仿宋_GB2312" w:cs="Times New Roman"/>
          <w:b/>
          <w:color w:val="FF0000"/>
          <w:sz w:val="32"/>
          <w:szCs w:val="32"/>
        </w:rPr>
      </w:pPr>
      <w:r>
        <w:rPr>
          <w:rFonts w:hint="eastAsia" w:ascii="仿宋_GB2312" w:hAnsi="仿宋_GB2312" w:eastAsia="仿宋_GB2312" w:cs="仿宋_GB2312"/>
          <w:sz w:val="32"/>
          <w:szCs w:val="32"/>
        </w:rPr>
        <w:t>我中心会定期对各部门人员进行培训工作，让各部门人员明白绩效管理的重要性，达到更加合理的运用资金。</w:t>
      </w: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173"/>
        <w:gridCol w:w="1305"/>
        <w:gridCol w:w="2074"/>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825" w:type="dxa"/>
            <w:vMerge w:val="restart"/>
            <w:tcBorders>
              <w:tl2br w:val="nil"/>
              <w:tr2bl w:val="nil"/>
            </w:tcBorders>
            <w:vAlign w:val="center"/>
          </w:tcPr>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w:t>
            </w:r>
          </w:p>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w:t>
            </w:r>
          </w:p>
        </w:tc>
        <w:tc>
          <w:tcPr>
            <w:tcW w:w="1173" w:type="dxa"/>
            <w:vMerge w:val="restart"/>
            <w:tcBorders>
              <w:tl2br w:val="nil"/>
              <w:tr2bl w:val="nil"/>
            </w:tcBorders>
            <w:vAlign w:val="center"/>
          </w:tcPr>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w:t>
            </w:r>
          </w:p>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w:t>
            </w:r>
          </w:p>
        </w:tc>
        <w:tc>
          <w:tcPr>
            <w:tcW w:w="1305" w:type="dxa"/>
            <w:vMerge w:val="restart"/>
            <w:tcBorders>
              <w:tl2br w:val="nil"/>
              <w:tr2bl w:val="nil"/>
            </w:tcBorders>
            <w:vAlign w:val="center"/>
          </w:tcPr>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评（扣）分标准</w:t>
            </w:r>
          </w:p>
        </w:tc>
        <w:tc>
          <w:tcPr>
            <w:tcW w:w="2074" w:type="dxa"/>
            <w:vMerge w:val="restart"/>
            <w:tcBorders>
              <w:tl2br w:val="nil"/>
              <w:tr2bl w:val="nil"/>
            </w:tcBorders>
            <w:vAlign w:val="center"/>
          </w:tcPr>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w:t>
            </w:r>
          </w:p>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描述</w:t>
            </w:r>
          </w:p>
        </w:tc>
        <w:tc>
          <w:tcPr>
            <w:tcW w:w="1604" w:type="dxa"/>
            <w:gridSpan w:val="3"/>
            <w:tcBorders>
              <w:tl2br w:val="nil"/>
              <w:tr2bl w:val="nil"/>
            </w:tcBorders>
            <w:vAlign w:val="center"/>
          </w:tcPr>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1277" w:type="dxa"/>
            <w:vMerge w:val="restart"/>
            <w:tcBorders>
              <w:tl2br w:val="nil"/>
              <w:tr2bl w:val="nil"/>
            </w:tcBorders>
            <w:vAlign w:val="center"/>
          </w:tcPr>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825"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1173"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1305"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2074"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54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符号</w:t>
            </w:r>
          </w:p>
        </w:tc>
        <w:tc>
          <w:tcPr>
            <w:tcW w:w="488"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值</w:t>
            </w:r>
          </w:p>
        </w:tc>
        <w:tc>
          <w:tcPr>
            <w:tcW w:w="57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单位</w:t>
            </w:r>
          </w:p>
        </w:tc>
        <w:tc>
          <w:tcPr>
            <w:tcW w:w="1277" w:type="dxa"/>
            <w:vMerge w:val="continue"/>
            <w:tcBorders>
              <w:tl2br w:val="nil"/>
              <w:tr2bl w:val="nil"/>
            </w:tcBorders>
            <w:vAlign w:val="center"/>
          </w:tcPr>
          <w:p>
            <w:pPr>
              <w:rPr>
                <w:rFonts w:hint="eastAsia" w:ascii="方正书宋_GBK" w:hAnsi="方正书宋_GBK" w:eastAsia="方正书宋_GBK" w:cs="方正书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部门产出</w:t>
            </w:r>
          </w:p>
        </w:tc>
        <w:tc>
          <w:tcPr>
            <w:tcW w:w="825"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w:t>
            </w:r>
          </w:p>
        </w:tc>
        <w:tc>
          <w:tcPr>
            <w:tcW w:w="1173" w:type="dxa"/>
            <w:tcBorders>
              <w:tl2br w:val="nil"/>
              <w:tr2bl w:val="nil"/>
            </w:tcBorders>
            <w:vAlign w:val="center"/>
          </w:tcPr>
          <w:tbl>
            <w:tblPr>
              <w:tblStyle w:val="7"/>
              <w:tblW w:w="4036" w:type="dxa"/>
              <w:tblInd w:w="-15" w:type="dxa"/>
              <w:shd w:val="clear" w:color="auto" w:fill="auto"/>
              <w:tblLayout w:type="fixed"/>
              <w:tblCellMar>
                <w:top w:w="0" w:type="dxa"/>
                <w:left w:w="0" w:type="dxa"/>
                <w:bottom w:w="0" w:type="dxa"/>
                <w:right w:w="0" w:type="dxa"/>
              </w:tblCellMar>
            </w:tblPr>
            <w:tblGrid>
              <w:gridCol w:w="1800"/>
              <w:gridCol w:w="2236"/>
            </w:tblGrid>
            <w:tr>
              <w:tblPrEx>
                <w:shd w:val="clear" w:color="auto" w:fill="auto"/>
                <w:tblCellMar>
                  <w:top w:w="0" w:type="dxa"/>
                  <w:left w:w="0" w:type="dxa"/>
                  <w:bottom w:w="0" w:type="dxa"/>
                  <w:right w:w="0" w:type="dxa"/>
                </w:tblCellMar>
              </w:tblPrEx>
              <w:trPr>
                <w:trHeight w:val="375" w:hRule="atLeast"/>
              </w:trPr>
              <w:tc>
                <w:tcPr>
                  <w:tcW w:w="18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培训次数</w:t>
                  </w:r>
                </w:p>
              </w:tc>
              <w:tc>
                <w:tcPr>
                  <w:tcW w:w="22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1"/>
                      <w:szCs w:val="21"/>
                      <w:u w:val="none"/>
                    </w:rPr>
                  </w:pPr>
                  <w:r>
                    <w:rPr>
                      <w:rFonts w:hint="eastAsia" w:ascii="方正书宋_GBK" w:hAnsi="方正书宋_GBK" w:eastAsia="方正书宋_GBK" w:cs="方正书宋_GBK"/>
                      <w:i w:val="0"/>
                      <w:color w:val="000000"/>
                      <w:kern w:val="0"/>
                      <w:sz w:val="21"/>
                      <w:szCs w:val="21"/>
                      <w:u w:val="none"/>
                      <w:lang w:val="en-US" w:eastAsia="zh-CN" w:bidi="ar"/>
                    </w:rPr>
                    <w:t>每年组织各投注站进行专业知识培训</w:t>
                  </w:r>
                </w:p>
              </w:tc>
            </w:tr>
          </w:tbl>
          <w:p>
            <w:pPr>
              <w:widowControl/>
              <w:adjustRightInd w:val="0"/>
              <w:snapToGrid w:val="0"/>
              <w:rPr>
                <w:rFonts w:hint="eastAsia" w:ascii="方正书宋_GBK" w:hAnsi="方正书宋_GBK" w:eastAsia="方正书宋_GBK" w:cs="方正书宋_GBK"/>
                <w:sz w:val="21"/>
                <w:szCs w:val="21"/>
              </w:rPr>
            </w:pPr>
          </w:p>
        </w:tc>
        <w:tc>
          <w:tcPr>
            <w:tcW w:w="1305" w:type="dxa"/>
            <w:tcBorders>
              <w:tl2br w:val="nil"/>
              <w:tr2bl w:val="nil"/>
            </w:tcBorders>
            <w:vAlign w:val="center"/>
          </w:tcPr>
          <w:p>
            <w:pPr>
              <w:widowControl/>
              <w:adjustRightInd w:val="0"/>
              <w:snapToGrid w:val="0"/>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10</w:t>
            </w:r>
          </w:p>
        </w:tc>
        <w:tc>
          <w:tcPr>
            <w:tcW w:w="2074"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每年组织各投注站进行专业知识培训</w:t>
            </w:r>
          </w:p>
        </w:tc>
        <w:tc>
          <w:tcPr>
            <w:tcW w:w="54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w:t>
            </w:r>
          </w:p>
        </w:tc>
        <w:tc>
          <w:tcPr>
            <w:tcW w:w="488"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5</w:t>
            </w:r>
          </w:p>
        </w:tc>
        <w:tc>
          <w:tcPr>
            <w:tcW w:w="57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次</w:t>
            </w:r>
          </w:p>
        </w:tc>
        <w:tc>
          <w:tcPr>
            <w:tcW w:w="1277"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825"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w:t>
            </w:r>
          </w:p>
        </w:tc>
        <w:tc>
          <w:tcPr>
            <w:tcW w:w="1173"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促销宣传地域覆盖率（%）</w:t>
            </w:r>
          </w:p>
        </w:tc>
        <w:tc>
          <w:tcPr>
            <w:tcW w:w="1305" w:type="dxa"/>
            <w:tcBorders>
              <w:tl2br w:val="nil"/>
              <w:tr2bl w:val="nil"/>
            </w:tcBorders>
            <w:vAlign w:val="center"/>
          </w:tcPr>
          <w:p>
            <w:pPr>
              <w:widowControl/>
              <w:adjustRightInd w:val="0"/>
              <w:snapToGrid w:val="0"/>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20</w:t>
            </w:r>
          </w:p>
        </w:tc>
        <w:tc>
          <w:tcPr>
            <w:tcW w:w="2074"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实际促销宣传点占总销售点的比率（%）</w:t>
            </w:r>
          </w:p>
        </w:tc>
        <w:tc>
          <w:tcPr>
            <w:tcW w:w="54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w:t>
            </w:r>
          </w:p>
        </w:tc>
        <w:tc>
          <w:tcPr>
            <w:tcW w:w="488"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90</w:t>
            </w:r>
          </w:p>
        </w:tc>
        <w:tc>
          <w:tcPr>
            <w:tcW w:w="57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百分比</w:t>
            </w:r>
          </w:p>
        </w:tc>
        <w:tc>
          <w:tcPr>
            <w:tcW w:w="1277"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eastAsia="zh-CN"/>
              </w:rPr>
              <w:t>经验</w:t>
            </w:r>
            <w:r>
              <w:rPr>
                <w:rFonts w:hint="eastAsia" w:ascii="方正书宋_GBK" w:hAnsi="方正书宋_GBK" w:eastAsia="方正书宋_GBK" w:cs="方正书宋_GBK"/>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825"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w:t>
            </w:r>
          </w:p>
        </w:tc>
        <w:tc>
          <w:tcPr>
            <w:tcW w:w="1173"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培训及时率</w:t>
            </w:r>
          </w:p>
        </w:tc>
        <w:tc>
          <w:tcPr>
            <w:tcW w:w="1305" w:type="dxa"/>
            <w:tcBorders>
              <w:tl2br w:val="nil"/>
              <w:tr2bl w:val="nil"/>
            </w:tcBorders>
            <w:vAlign w:val="center"/>
          </w:tcPr>
          <w:p>
            <w:pPr>
              <w:widowControl/>
              <w:adjustRightInd w:val="0"/>
              <w:snapToGrid w:val="0"/>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10</w:t>
            </w:r>
          </w:p>
        </w:tc>
        <w:tc>
          <w:tcPr>
            <w:tcW w:w="2074"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实际培训的月份与预计培训月份的时间差</w:t>
            </w:r>
          </w:p>
        </w:tc>
        <w:tc>
          <w:tcPr>
            <w:tcW w:w="54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w:t>
            </w:r>
          </w:p>
        </w:tc>
        <w:tc>
          <w:tcPr>
            <w:tcW w:w="488"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30</w:t>
            </w:r>
          </w:p>
        </w:tc>
        <w:tc>
          <w:tcPr>
            <w:tcW w:w="57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天</w:t>
            </w:r>
          </w:p>
        </w:tc>
        <w:tc>
          <w:tcPr>
            <w:tcW w:w="1277"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825"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时效</w:t>
            </w:r>
          </w:p>
        </w:tc>
        <w:tc>
          <w:tcPr>
            <w:tcW w:w="117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宣传品发放及时率</w:t>
            </w:r>
          </w:p>
        </w:tc>
        <w:tc>
          <w:tcPr>
            <w:tcW w:w="1305" w:type="dxa"/>
            <w:tcBorders>
              <w:tl2br w:val="nil"/>
              <w:tr2bl w:val="nil"/>
            </w:tcBorders>
            <w:vAlign w:val="center"/>
          </w:tcPr>
          <w:p>
            <w:pPr>
              <w:widowControl/>
              <w:adjustRightInd w:val="0"/>
              <w:snapToGrid w:val="0"/>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10</w:t>
            </w:r>
          </w:p>
        </w:tc>
        <w:tc>
          <w:tcPr>
            <w:tcW w:w="2074"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宣传品发放及时率</w:t>
            </w:r>
          </w:p>
        </w:tc>
        <w:tc>
          <w:tcPr>
            <w:tcW w:w="54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w:t>
            </w:r>
          </w:p>
        </w:tc>
        <w:tc>
          <w:tcPr>
            <w:tcW w:w="488"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5</w:t>
            </w:r>
          </w:p>
        </w:tc>
        <w:tc>
          <w:tcPr>
            <w:tcW w:w="57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天</w:t>
            </w:r>
          </w:p>
        </w:tc>
        <w:tc>
          <w:tcPr>
            <w:tcW w:w="1277"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部门效果</w:t>
            </w:r>
          </w:p>
        </w:tc>
        <w:tc>
          <w:tcPr>
            <w:tcW w:w="825"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w:t>
            </w:r>
          </w:p>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w:t>
            </w:r>
          </w:p>
        </w:tc>
        <w:tc>
          <w:tcPr>
            <w:tcW w:w="1173"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突发事件应急处理率</w:t>
            </w:r>
          </w:p>
        </w:tc>
        <w:tc>
          <w:tcPr>
            <w:tcW w:w="1305" w:type="dxa"/>
            <w:tcBorders>
              <w:tl2br w:val="nil"/>
              <w:tr2bl w:val="nil"/>
            </w:tcBorders>
            <w:vAlign w:val="center"/>
          </w:tcPr>
          <w:p>
            <w:pPr>
              <w:widowControl/>
              <w:adjustRightInd w:val="0"/>
              <w:snapToGrid w:val="0"/>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15</w:t>
            </w:r>
          </w:p>
        </w:tc>
        <w:tc>
          <w:tcPr>
            <w:tcW w:w="2074"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突发事件成功处理次数/全年突发事件数</w:t>
            </w:r>
          </w:p>
        </w:tc>
        <w:tc>
          <w:tcPr>
            <w:tcW w:w="54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eastAsia="zh-CN"/>
              </w:rPr>
              <w:t>≥</w:t>
            </w:r>
          </w:p>
        </w:tc>
        <w:tc>
          <w:tcPr>
            <w:tcW w:w="488"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90</w:t>
            </w:r>
          </w:p>
        </w:tc>
        <w:tc>
          <w:tcPr>
            <w:tcW w:w="57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百分比</w:t>
            </w:r>
          </w:p>
        </w:tc>
        <w:tc>
          <w:tcPr>
            <w:tcW w:w="1277"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825"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eastAsia="zh-CN"/>
              </w:rPr>
              <w:t>社会</w:t>
            </w:r>
            <w:r>
              <w:rPr>
                <w:rFonts w:hint="eastAsia" w:ascii="方正书宋_GBK" w:hAnsi="方正书宋_GBK" w:eastAsia="方正书宋_GBK" w:cs="方正书宋_GBK"/>
                <w:sz w:val="21"/>
                <w:szCs w:val="21"/>
              </w:rPr>
              <w:t>效益</w:t>
            </w:r>
          </w:p>
        </w:tc>
        <w:tc>
          <w:tcPr>
            <w:tcW w:w="1173"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彩票站正常运转率</w:t>
            </w:r>
          </w:p>
        </w:tc>
        <w:tc>
          <w:tcPr>
            <w:tcW w:w="1305" w:type="dxa"/>
            <w:tcBorders>
              <w:tl2br w:val="nil"/>
              <w:tr2bl w:val="nil"/>
            </w:tcBorders>
            <w:vAlign w:val="center"/>
          </w:tcPr>
          <w:p>
            <w:pPr>
              <w:widowControl/>
              <w:adjustRightInd w:val="0"/>
              <w:snapToGrid w:val="0"/>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15</w:t>
            </w:r>
          </w:p>
        </w:tc>
        <w:tc>
          <w:tcPr>
            <w:tcW w:w="2074"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彩票站正常运转率</w:t>
            </w:r>
          </w:p>
        </w:tc>
        <w:tc>
          <w:tcPr>
            <w:tcW w:w="54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eastAsia="zh-CN"/>
              </w:rPr>
              <w:t>≥</w:t>
            </w:r>
          </w:p>
        </w:tc>
        <w:tc>
          <w:tcPr>
            <w:tcW w:w="488"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90</w:t>
            </w:r>
          </w:p>
        </w:tc>
        <w:tc>
          <w:tcPr>
            <w:tcW w:w="573"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百分比</w:t>
            </w:r>
          </w:p>
        </w:tc>
        <w:tc>
          <w:tcPr>
            <w:tcW w:w="1277"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825"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eastAsia="zh-CN"/>
              </w:rPr>
              <w:t>可持续影响</w:t>
            </w:r>
          </w:p>
        </w:tc>
        <w:tc>
          <w:tcPr>
            <w:tcW w:w="1173"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机构正常运转率</w:t>
            </w:r>
          </w:p>
        </w:tc>
        <w:tc>
          <w:tcPr>
            <w:tcW w:w="1305" w:type="dxa"/>
            <w:tcBorders>
              <w:tl2br w:val="nil"/>
              <w:tr2bl w:val="nil"/>
            </w:tcBorders>
            <w:vAlign w:val="center"/>
          </w:tcPr>
          <w:p>
            <w:pPr>
              <w:widowControl/>
              <w:adjustRightInd w:val="0"/>
              <w:snapToGrid w:val="0"/>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10</w:t>
            </w:r>
          </w:p>
        </w:tc>
        <w:tc>
          <w:tcPr>
            <w:tcW w:w="2074"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机构正常运转天数占比</w:t>
            </w:r>
          </w:p>
        </w:tc>
        <w:tc>
          <w:tcPr>
            <w:tcW w:w="54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w:t>
            </w:r>
          </w:p>
        </w:tc>
        <w:tc>
          <w:tcPr>
            <w:tcW w:w="488"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100</w:t>
            </w:r>
          </w:p>
        </w:tc>
        <w:tc>
          <w:tcPr>
            <w:tcW w:w="573"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百分比</w:t>
            </w:r>
          </w:p>
        </w:tc>
        <w:tc>
          <w:tcPr>
            <w:tcW w:w="1277"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825" w:type="dxa"/>
            <w:tcBorders>
              <w:tl2br w:val="nil"/>
              <w:tr2bl w:val="nil"/>
            </w:tcBorders>
            <w:vAlign w:val="center"/>
          </w:tcPr>
          <w:p>
            <w:pPr>
              <w:adjustRightInd w:val="0"/>
              <w:snapToGrid w:val="0"/>
              <w:jc w:val="center"/>
              <w:rPr>
                <w:rFonts w:hint="eastAsia"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满意度</w:t>
            </w:r>
          </w:p>
        </w:tc>
        <w:tc>
          <w:tcPr>
            <w:tcW w:w="1173" w:type="dxa"/>
            <w:tcBorders>
              <w:tl2br w:val="nil"/>
              <w:tr2bl w:val="nil"/>
            </w:tcBorders>
            <w:noWrap/>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站主满意度</w:t>
            </w:r>
          </w:p>
        </w:tc>
        <w:tc>
          <w:tcPr>
            <w:tcW w:w="1305" w:type="dxa"/>
            <w:tcBorders>
              <w:tl2br w:val="nil"/>
              <w:tr2bl w:val="nil"/>
            </w:tcBorders>
            <w:noWrap/>
            <w:vAlign w:val="center"/>
          </w:tcPr>
          <w:p>
            <w:pPr>
              <w:widowControl/>
              <w:adjustRightInd w:val="0"/>
              <w:snapToGrid w:val="0"/>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3</w:t>
            </w:r>
          </w:p>
        </w:tc>
        <w:tc>
          <w:tcPr>
            <w:tcW w:w="2074" w:type="dxa"/>
            <w:tcBorders>
              <w:tl2br w:val="nil"/>
              <w:tr2bl w:val="nil"/>
            </w:tcBorders>
            <w:noWrap/>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提升各站主满意度</w:t>
            </w:r>
          </w:p>
        </w:tc>
        <w:tc>
          <w:tcPr>
            <w:tcW w:w="54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eastAsia="zh-CN"/>
              </w:rPr>
              <w:t>≥</w:t>
            </w:r>
          </w:p>
        </w:tc>
        <w:tc>
          <w:tcPr>
            <w:tcW w:w="488"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val="en-US" w:eastAsia="zh-CN"/>
              </w:rPr>
              <w:t>90</w:t>
            </w:r>
          </w:p>
        </w:tc>
        <w:tc>
          <w:tcPr>
            <w:tcW w:w="57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百分比</w:t>
            </w:r>
          </w:p>
        </w:tc>
        <w:tc>
          <w:tcPr>
            <w:tcW w:w="1277"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825" w:type="dxa"/>
            <w:tcBorders>
              <w:tl2br w:val="nil"/>
              <w:tr2bl w:val="nil"/>
            </w:tcBorders>
            <w:vAlign w:val="center"/>
          </w:tcPr>
          <w:p>
            <w:pPr>
              <w:adjustRightInd w:val="0"/>
              <w:snapToGrid w:val="0"/>
              <w:jc w:val="center"/>
              <w:rPr>
                <w:rFonts w:hint="eastAsia"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满意度</w:t>
            </w:r>
          </w:p>
        </w:tc>
        <w:tc>
          <w:tcPr>
            <w:tcW w:w="1173" w:type="dxa"/>
            <w:tcBorders>
              <w:tl2br w:val="nil"/>
              <w:tr2bl w:val="nil"/>
            </w:tcBorders>
            <w:noWrap/>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彩民满意度</w:t>
            </w:r>
          </w:p>
        </w:tc>
        <w:tc>
          <w:tcPr>
            <w:tcW w:w="1305" w:type="dxa"/>
            <w:tcBorders>
              <w:tl2br w:val="nil"/>
              <w:tr2bl w:val="nil"/>
            </w:tcBorders>
            <w:noWrap/>
            <w:vAlign w:val="center"/>
          </w:tcPr>
          <w:p>
            <w:pPr>
              <w:widowControl/>
              <w:adjustRightInd w:val="0"/>
              <w:snapToGrid w:val="0"/>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4</w:t>
            </w:r>
          </w:p>
        </w:tc>
        <w:tc>
          <w:tcPr>
            <w:tcW w:w="2074" w:type="dxa"/>
            <w:tcBorders>
              <w:tl2br w:val="nil"/>
              <w:tr2bl w:val="nil"/>
            </w:tcBorders>
            <w:noWrap/>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彩民对福彩销售事业满意度</w:t>
            </w:r>
          </w:p>
        </w:tc>
        <w:tc>
          <w:tcPr>
            <w:tcW w:w="54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eastAsia="zh-CN"/>
              </w:rPr>
              <w:t>≥</w:t>
            </w:r>
          </w:p>
        </w:tc>
        <w:tc>
          <w:tcPr>
            <w:tcW w:w="488"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val="en-US" w:eastAsia="zh-CN"/>
              </w:rPr>
              <w:t>90</w:t>
            </w:r>
          </w:p>
        </w:tc>
        <w:tc>
          <w:tcPr>
            <w:tcW w:w="57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百分比</w:t>
            </w:r>
          </w:p>
        </w:tc>
        <w:tc>
          <w:tcPr>
            <w:tcW w:w="1277"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rPr>
                <w:rFonts w:hint="eastAsia" w:ascii="方正书宋_GBK" w:hAnsi="方正书宋_GBK" w:eastAsia="方正书宋_GBK" w:cs="方正书宋_GBK"/>
                <w:sz w:val="21"/>
                <w:szCs w:val="21"/>
              </w:rPr>
            </w:pPr>
          </w:p>
        </w:tc>
        <w:tc>
          <w:tcPr>
            <w:tcW w:w="825"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w:t>
            </w:r>
          </w:p>
        </w:tc>
        <w:tc>
          <w:tcPr>
            <w:tcW w:w="1173" w:type="dxa"/>
            <w:tcBorders>
              <w:tl2br w:val="nil"/>
              <w:tr2bl w:val="nil"/>
            </w:tcBorders>
            <w:noWrap/>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工作人员满意度</w:t>
            </w:r>
          </w:p>
        </w:tc>
        <w:tc>
          <w:tcPr>
            <w:tcW w:w="1305" w:type="dxa"/>
            <w:tcBorders>
              <w:tl2br w:val="nil"/>
              <w:tr2bl w:val="nil"/>
            </w:tcBorders>
            <w:noWrap/>
            <w:vAlign w:val="center"/>
          </w:tcPr>
          <w:p>
            <w:pPr>
              <w:widowControl/>
              <w:adjustRightInd w:val="0"/>
              <w:snapToGrid w:val="0"/>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3</w:t>
            </w:r>
          </w:p>
        </w:tc>
        <w:tc>
          <w:tcPr>
            <w:tcW w:w="2074" w:type="dxa"/>
            <w:tcBorders>
              <w:tl2br w:val="nil"/>
              <w:tr2bl w:val="nil"/>
            </w:tcBorders>
            <w:noWrap/>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工作人员对培训讲师满意度</w:t>
            </w:r>
          </w:p>
        </w:tc>
        <w:tc>
          <w:tcPr>
            <w:tcW w:w="543" w:type="dxa"/>
            <w:tcBorders>
              <w:tl2br w:val="nil"/>
              <w:tr2bl w:val="nil"/>
            </w:tcBorders>
            <w:vAlign w:val="center"/>
          </w:tcPr>
          <w:p>
            <w:pPr>
              <w:widowControl/>
              <w:adjustRightInd w:val="0"/>
              <w:snapToGrid w:val="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eastAsia="zh-CN"/>
              </w:rPr>
              <w:t>≥</w:t>
            </w:r>
          </w:p>
        </w:tc>
        <w:tc>
          <w:tcPr>
            <w:tcW w:w="488"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val="en-US" w:eastAsia="zh-CN"/>
              </w:rPr>
              <w:t>90</w:t>
            </w:r>
          </w:p>
        </w:tc>
        <w:tc>
          <w:tcPr>
            <w:tcW w:w="573"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百分比</w:t>
            </w:r>
          </w:p>
        </w:tc>
        <w:tc>
          <w:tcPr>
            <w:tcW w:w="1277" w:type="dxa"/>
            <w:tcBorders>
              <w:tl2br w:val="nil"/>
              <w:tr2bl w:val="nil"/>
            </w:tcBorders>
            <w:vAlign w:val="center"/>
          </w:tcPr>
          <w:p>
            <w:pPr>
              <w:widowControl/>
              <w:adjustRightInd w:val="0"/>
              <w:snapToGrid w:val="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计划标准</w:t>
            </w:r>
          </w:p>
        </w:tc>
      </w:tr>
    </w:tbl>
    <w:p>
      <w:pPr>
        <w:numPr>
          <w:ilvl w:val="0"/>
          <w:numId w:val="0"/>
        </w:numPr>
        <w:rPr>
          <w:rFonts w:hint="eastAsia" w:ascii="仿宋_GB2312" w:hAnsi="Times New Roman" w:eastAsia="仿宋_GB2312" w:cs="Times New Roman"/>
          <w:b w:val="0"/>
          <w:bCs/>
          <w:color w:val="auto"/>
          <w:sz w:val="32"/>
          <w:szCs w:val="32"/>
          <w:lang w:val="en-US" w:eastAsia="zh-CN"/>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1"/>
    <w:p>
      <w:pPr>
        <w:ind w:firstLine="560" w:firstLineChars="200"/>
        <w:jc w:val="left"/>
        <w:outlineLvl w:val="1"/>
        <w:rPr>
          <w:rFonts w:hint="eastAsia" w:ascii="方正仿宋_GBK" w:eastAsia="方正仿宋_GBK"/>
          <w:b/>
          <w:sz w:val="28"/>
        </w:rPr>
      </w:pPr>
      <w:r>
        <w:rPr>
          <w:rFonts w:hint="eastAsia" w:ascii="方正仿宋_GBK" w:eastAsia="方正仿宋_GBK"/>
          <w:b/>
          <w:sz w:val="28"/>
        </w:rPr>
        <w:t>1、</w:t>
      </w:r>
      <w:r>
        <w:rPr>
          <w:rFonts w:hint="eastAsia" w:ascii="方正仿宋_GBK" w:eastAsia="方正仿宋_GBK"/>
          <w:b/>
          <w:color w:val="auto"/>
          <w:sz w:val="28"/>
          <w:lang w:eastAsia="zh-CN"/>
        </w:rPr>
        <w:t>福彩销售业务费</w:t>
      </w:r>
      <w:r>
        <w:rPr>
          <w:rFonts w:hint="eastAsia" w:ascii="方正仿宋_GBK" w:eastAsia="方正仿宋_GBK"/>
          <w:b/>
          <w:sz w:val="28"/>
        </w:rPr>
        <w:t>绩效目标表</w:t>
      </w:r>
    </w:p>
    <w:p>
      <w:pPr>
        <w:ind w:firstLine="560" w:firstLineChars="200"/>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 w:name="_Toc30521345"/>
      <w:r>
        <w:rPr>
          <w:rFonts w:hint="eastAsia" w:ascii="方正仿宋_GBK" w:eastAsia="方正仿宋_GBK"/>
          <w:b/>
          <w:sz w:val="28"/>
        </w:rPr>
        <w:instrText xml:space="preserve">1、常委会经费绩效目标表</w:instrText>
      </w:r>
      <w:bookmarkEnd w:id="2"/>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numPr>
                <w:ilvl w:val="0"/>
                <w:numId w:val="2"/>
              </w:num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通过对彩票销售宣传与促销，提高彩民对福彩认知度，促进彩票销量；</w:t>
            </w:r>
          </w:p>
          <w:p>
            <w:pPr>
              <w:numPr>
                <w:ilvl w:val="0"/>
                <w:numId w:val="2"/>
              </w:num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通过中大奖宣传，促进彩票销量与彩民认知度；</w:t>
            </w:r>
          </w:p>
          <w:p>
            <w:pPr>
              <w:numPr>
                <w:ilvl w:val="0"/>
                <w:numId w:val="2"/>
              </w:num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通过对各站主与销售员的培训，促使各投注站文化知识与专业素养的提高；</w:t>
            </w:r>
          </w:p>
          <w:p>
            <w:pPr>
              <w:numPr>
                <w:ilvl w:val="0"/>
                <w:numId w:val="2"/>
              </w:num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通过对霸州城乡各投注站点的巡查，提高福彩形象完成业绩目标。</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培训次数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每年组织各投注站进行专业知识培训</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ascii="方正书宋_GBK" w:hAnsi="方正书宋_GBK" w:eastAsia="方正书宋_GBK" w:cs="方正书宋_GBK"/>
                <w:sz w:val="21"/>
                <w:szCs w:val="21"/>
                <w:lang w:eastAsia="zh-CN"/>
              </w:rPr>
              <w:t>≥</w:t>
            </w:r>
            <w:r>
              <w:rPr>
                <w:rFonts w:hint="eastAsia" w:ascii="方正书宋_GBK" w:hAnsi="方正书宋_GBK" w:eastAsia="方正书宋_GBK" w:cs="方正书宋_GBK"/>
                <w:sz w:val="21"/>
                <w:szCs w:val="21"/>
                <w:lang w:val="en-US" w:eastAsia="zh-CN"/>
              </w:rPr>
              <w:t>5次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配送宣传品次数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每月配送次数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ascii="方正书宋_GBK" w:hAnsi="方正书宋_GBK" w:eastAsia="方正书宋_GBK" w:cs="方正书宋_GBK"/>
                <w:sz w:val="21"/>
                <w:szCs w:val="21"/>
                <w:lang w:eastAsia="zh-CN"/>
              </w:rPr>
              <w:t>≥</w:t>
            </w:r>
            <w:r>
              <w:rPr>
                <w:rFonts w:hint="eastAsia" w:ascii="方正书宋_GBK" w:hAnsi="方正书宋_GBK" w:eastAsia="方正书宋_GBK" w:cs="方正书宋_GBK"/>
                <w:sz w:val="21"/>
                <w:szCs w:val="21"/>
                <w:lang w:val="en-US" w:eastAsia="zh-CN"/>
              </w:rPr>
              <w:t>4次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业务用车购置数量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置换新的业务用车，对全市站点巡查配送宣传品</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eastAsia="zh-CN"/>
              </w:rPr>
              <w:t>霸州市行政事业单位小汽车编制审批表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印制宣传条幅</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宣传条幅印制数量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ascii="方正书宋_GBK" w:hAnsi="方正书宋_GBK" w:eastAsia="方正书宋_GBK" w:cs="方正书宋_GBK"/>
                <w:sz w:val="21"/>
                <w:szCs w:val="21"/>
                <w:lang w:eastAsia="zh-CN"/>
              </w:rPr>
              <w:t>≥</w:t>
            </w:r>
            <w:r>
              <w:rPr>
                <w:rFonts w:hint="eastAsia" w:ascii="方正书宋_GBK" w:hAnsi="方正书宋_GBK" w:eastAsia="方正书宋_GBK" w:cs="方正书宋_GBK"/>
                <w:sz w:val="21"/>
                <w:szCs w:val="21"/>
                <w:lang w:val="en-US" w:eastAsia="zh-CN"/>
              </w:rPr>
              <w:t>600条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站点巡查次数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每月巡查全市各投注站点形象建设，督促完成业绩目标。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ascii="方正书宋_GBK" w:hAnsi="方正书宋_GBK" w:eastAsia="方正书宋_GBK" w:cs="方正书宋_GBK"/>
                <w:sz w:val="21"/>
                <w:szCs w:val="21"/>
                <w:lang w:eastAsia="zh-CN"/>
              </w:rPr>
              <w:t>≥</w:t>
            </w:r>
            <w:r>
              <w:rPr>
                <w:rFonts w:hint="eastAsia" w:ascii="方正书宋_GBK" w:hAnsi="方正书宋_GBK" w:eastAsia="方正书宋_GBK" w:cs="方正书宋_GBK"/>
                <w:sz w:val="21"/>
                <w:szCs w:val="21"/>
                <w:lang w:val="en-US" w:eastAsia="zh-CN"/>
              </w:rPr>
              <w:t>12次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促销宣传地域覆盖率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实际促销宣传站点占总站点的比率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ascii="方正书宋_GBK" w:hAnsi="方正书宋_GBK" w:eastAsia="方正书宋_GBK" w:cs="方正书宋_GBK"/>
                <w:sz w:val="21"/>
                <w:szCs w:val="21"/>
                <w:lang w:eastAsia="zh-CN"/>
              </w:rPr>
              <w:t>≥</w:t>
            </w:r>
            <w:r>
              <w:rPr>
                <w:rFonts w:hint="eastAsia" w:ascii="方正书宋_GBK" w:hAnsi="方正书宋_GBK" w:eastAsia="方正书宋_GBK" w:cs="方正书宋_GBK"/>
                <w:sz w:val="21"/>
                <w:szCs w:val="21"/>
                <w:lang w:val="en-US" w:eastAsia="zh-CN"/>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机构正常运转率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机构正常运转天数占比</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宣传品发放及时率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宣传品发放与活动开始时间差</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eastAsia="zh-CN"/>
              </w:rPr>
              <w:t>≤</w:t>
            </w:r>
            <w:r>
              <w:rPr>
                <w:rFonts w:hint="eastAsia" w:ascii="方正书宋_GBK" w:eastAsia="方正书宋_GBK"/>
                <w:lang w:val="en-US" w:eastAsia="zh-CN"/>
              </w:rPr>
              <w:t>5天</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公务车采购及时率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公务车实际采购时间与预计时间差</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ascii="方正书宋_GBK" w:eastAsia="方正书宋_GBK"/>
                <w:lang w:eastAsia="zh-CN"/>
              </w:rPr>
              <w:t>≤</w:t>
            </w:r>
            <w:r>
              <w:rPr>
                <w:rFonts w:hint="eastAsia" w:ascii="方正书宋_GBK" w:eastAsia="方正书宋_GBK"/>
                <w:lang w:val="en-US" w:eastAsia="zh-CN"/>
              </w:rPr>
              <w:t>1个月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培训及时率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实际培训月份与预计培训月份的时间差</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ascii="方正书宋_GBK" w:eastAsia="方正书宋_GBK"/>
                <w:lang w:eastAsia="zh-CN"/>
              </w:rPr>
              <w:t>≤</w:t>
            </w:r>
            <w:r>
              <w:rPr>
                <w:rFonts w:hint="eastAsia" w:ascii="方正书宋_GBK" w:eastAsia="方正书宋_GBK"/>
                <w:lang w:val="en-US" w:eastAsia="zh-CN"/>
              </w:rPr>
              <w:t>1个月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突发事件处理率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eastAsia="zh-CN"/>
              </w:rPr>
              <w:t>突发事件成功处理次数与全年突发事件数的比率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hAnsi="方正书宋_GBK" w:eastAsia="方正书宋_GBK" w:cs="方正书宋_GBK"/>
                <w:sz w:val="21"/>
                <w:szCs w:val="21"/>
                <w:lang w:eastAsia="zh-CN"/>
              </w:rPr>
              <w:t>≥</w:t>
            </w:r>
            <w:r>
              <w:rPr>
                <w:rFonts w:hint="eastAsia" w:ascii="方正书宋_GBK" w:hAnsi="方正书宋_GBK" w:eastAsia="方正书宋_GBK" w:cs="方正书宋_GBK"/>
                <w:sz w:val="21"/>
                <w:szCs w:val="21"/>
                <w:lang w:val="en-US" w:eastAsia="zh-CN"/>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彩民满意度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彩民满意度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hAnsi="方正书宋_GBK" w:eastAsia="方正书宋_GBK" w:cs="方正书宋_GBK"/>
                <w:sz w:val="21"/>
                <w:szCs w:val="21"/>
                <w:lang w:eastAsia="zh-CN"/>
              </w:rPr>
              <w:t>≥</w:t>
            </w:r>
            <w:r>
              <w:rPr>
                <w:rFonts w:hint="eastAsia" w:ascii="方正书宋_GBK" w:hAnsi="方正书宋_GBK" w:eastAsia="方正书宋_GBK" w:cs="方正书宋_GBK"/>
                <w:sz w:val="21"/>
                <w:szCs w:val="21"/>
                <w:lang w:val="en-US" w:eastAsia="zh-CN"/>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计划标准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auto"/>
          <w:sz w:val="32"/>
          <w:szCs w:val="32"/>
        </w:rPr>
      </w:pPr>
      <w:bookmarkStart w:id="3"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年，我部门安排政府采购预算</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3"/>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020"/>
        <w:gridCol w:w="1110"/>
        <w:gridCol w:w="1620"/>
        <w:gridCol w:w="663"/>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Times New Roman" w:eastAsia="方正小标宋_GBK" w:cs="Times New Roman"/>
                <w:sz w:val="24"/>
                <w:szCs w:val="24"/>
              </w:rPr>
            </w:pPr>
            <w:r>
              <w:rPr>
                <w:rFonts w:hint="eastAsia" w:ascii="方正小标宋_GBK" w:hAnsi="Times New Roman" w:eastAsia="方正小标宋_GBK" w:cs="Times New Roman"/>
                <w:sz w:val="18"/>
                <w:szCs w:val="18"/>
                <w:highlight w:val="none"/>
                <w:lang w:val="en-US" w:eastAsia="zh-CN"/>
              </w:rPr>
              <w:t>451</w:t>
            </w:r>
            <w:r>
              <w:rPr>
                <w:rFonts w:hint="eastAsia" w:ascii="方正小标宋_GBK" w:hAnsi="Times New Roman" w:eastAsia="方正小标宋_GBK" w:cs="Times New Roman"/>
                <w:sz w:val="18"/>
                <w:szCs w:val="18"/>
                <w:highlight w:val="none"/>
              </w:rPr>
              <w:t>霸州市</w:t>
            </w:r>
            <w:r>
              <w:rPr>
                <w:rFonts w:hint="eastAsia" w:ascii="方正小标宋_GBK" w:hAnsi="Times New Roman" w:eastAsia="方正小标宋_GBK" w:cs="Times New Roman"/>
                <w:sz w:val="18"/>
                <w:szCs w:val="18"/>
                <w:highlight w:val="none"/>
                <w:lang w:eastAsia="zh-CN"/>
              </w:rPr>
              <w:t>福利彩票发行管理中心</w:t>
            </w:r>
          </w:p>
        </w:tc>
        <w:tc>
          <w:tcPr>
            <w:tcW w:w="576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3220"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111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62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663"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768"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02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1110" w:type="dxa"/>
            <w:vMerge w:val="continue"/>
            <w:shd w:val="clear" w:color="auto" w:fill="auto"/>
            <w:vAlign w:val="center"/>
          </w:tcPr>
          <w:p>
            <w:pPr>
              <w:rPr>
                <w:rFonts w:ascii="Times New Roman" w:hAnsi="Times New Roman" w:eastAsia="宋体" w:cs="Times New Roman"/>
                <w:szCs w:val="24"/>
              </w:rPr>
            </w:pPr>
          </w:p>
        </w:tc>
        <w:tc>
          <w:tcPr>
            <w:tcW w:w="1620" w:type="dxa"/>
            <w:vMerge w:val="continue"/>
            <w:shd w:val="clear" w:color="auto" w:fill="auto"/>
            <w:vAlign w:val="center"/>
          </w:tcPr>
          <w:p>
            <w:pPr>
              <w:rPr>
                <w:rFonts w:ascii="Times New Roman" w:hAnsi="Times New Roman" w:eastAsia="宋体" w:cs="Times New Roman"/>
                <w:szCs w:val="24"/>
              </w:rPr>
            </w:pPr>
          </w:p>
        </w:tc>
        <w:tc>
          <w:tcPr>
            <w:tcW w:w="663"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904" w:type="dxa"/>
            <w:vMerge w:val="continue"/>
            <w:shd w:val="clear" w:color="auto" w:fill="auto"/>
            <w:vAlign w:val="center"/>
          </w:tcPr>
          <w:p>
            <w:pPr>
              <w:rPr>
                <w:rFonts w:ascii="Times New Roman" w:hAnsi="Times New Roman" w:eastAsia="宋体" w:cs="Times New Roman"/>
                <w:szCs w:val="24"/>
              </w:rPr>
            </w:pP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00" w:type="dxa"/>
            <w:shd w:val="clear" w:color="auto" w:fill="auto"/>
            <w:vAlign w:val="center"/>
          </w:tcPr>
          <w:p>
            <w:pPr>
              <w:spacing w:line="300" w:lineRule="exact"/>
              <w:jc w:val="center"/>
              <w:rPr>
                <w:rFonts w:ascii="Times New Roman" w:hAnsi="Times New Roman" w:eastAsia="宋体" w:cs="Times New Roman"/>
                <w:szCs w:val="24"/>
              </w:rPr>
            </w:pPr>
            <w:r>
              <w:rPr>
                <w:rFonts w:ascii="方正书宋_GBK" w:eastAsia="方正书宋_GBK" w:cs="Times New Roman"/>
                <w:b/>
              </w:rPr>
              <w:t>合  计</w:t>
            </w:r>
          </w:p>
        </w:tc>
        <w:tc>
          <w:tcPr>
            <w:tcW w:w="1020" w:type="dxa"/>
            <w:shd w:val="clear" w:color="auto" w:fill="auto"/>
            <w:vAlign w:val="center"/>
          </w:tcPr>
          <w:p>
            <w:pPr>
              <w:spacing w:line="300" w:lineRule="exact"/>
              <w:jc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10</w:t>
            </w:r>
          </w:p>
        </w:tc>
        <w:tc>
          <w:tcPr>
            <w:tcW w:w="1110" w:type="dxa"/>
            <w:shd w:val="clear" w:color="auto" w:fill="auto"/>
            <w:vAlign w:val="center"/>
          </w:tcPr>
          <w:p>
            <w:pPr>
              <w:spacing w:line="300" w:lineRule="exact"/>
              <w:jc w:val="center"/>
              <w:rPr>
                <w:rFonts w:ascii="Times New Roman" w:hAnsi="Times New Roman" w:eastAsia="宋体" w:cs="Times New Roman"/>
                <w:szCs w:val="24"/>
              </w:rPr>
            </w:pPr>
          </w:p>
        </w:tc>
        <w:tc>
          <w:tcPr>
            <w:tcW w:w="1620" w:type="dxa"/>
            <w:shd w:val="clear" w:color="auto" w:fill="auto"/>
            <w:vAlign w:val="center"/>
          </w:tcPr>
          <w:p>
            <w:pPr>
              <w:spacing w:line="300" w:lineRule="exact"/>
              <w:jc w:val="center"/>
              <w:rPr>
                <w:rFonts w:ascii="Times New Roman" w:hAnsi="Times New Roman" w:eastAsia="宋体" w:cs="Times New Roman"/>
                <w:szCs w:val="24"/>
              </w:rPr>
            </w:pPr>
          </w:p>
        </w:tc>
        <w:tc>
          <w:tcPr>
            <w:tcW w:w="663" w:type="dxa"/>
            <w:shd w:val="clear" w:color="auto" w:fill="auto"/>
            <w:vAlign w:val="center"/>
          </w:tcPr>
          <w:p>
            <w:pPr>
              <w:spacing w:line="300" w:lineRule="exact"/>
              <w:jc w:val="center"/>
              <w:rPr>
                <w:rFonts w:ascii="Times New Roman" w:hAnsi="Times New Roman" w:eastAsia="宋体" w:cs="Times New Roman"/>
                <w:szCs w:val="24"/>
              </w:rPr>
            </w:pPr>
          </w:p>
        </w:tc>
        <w:tc>
          <w:tcPr>
            <w:tcW w:w="878" w:type="dxa"/>
            <w:shd w:val="clear" w:color="auto" w:fill="auto"/>
            <w:vAlign w:val="center"/>
          </w:tcPr>
          <w:p>
            <w:pPr>
              <w:spacing w:line="30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w:t>
            </w:r>
          </w:p>
        </w:tc>
        <w:tc>
          <w:tcPr>
            <w:tcW w:w="904" w:type="dxa"/>
            <w:shd w:val="clear" w:color="auto" w:fill="auto"/>
            <w:vAlign w:val="center"/>
          </w:tcPr>
          <w:p>
            <w:pPr>
              <w:spacing w:line="300" w:lineRule="exact"/>
              <w:jc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10</w:t>
            </w:r>
          </w:p>
        </w:tc>
        <w:tc>
          <w:tcPr>
            <w:tcW w:w="961" w:type="dxa"/>
            <w:shd w:val="clear" w:color="auto" w:fill="auto"/>
            <w:vAlign w:val="center"/>
          </w:tcPr>
          <w:p>
            <w:pPr>
              <w:spacing w:line="300" w:lineRule="exact"/>
              <w:jc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10</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961" w:type="dxa"/>
            <w:shd w:val="clear" w:color="auto" w:fill="auto"/>
            <w:vAlign w:val="center"/>
          </w:tcPr>
          <w:p>
            <w:pPr>
              <w:spacing w:line="300" w:lineRule="exact"/>
              <w:jc w:val="center"/>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val="0"/>
                <w:bCs/>
                <w:szCs w:val="24"/>
                <w:lang w:val="en-US" w:eastAsia="zh-CN"/>
              </w:rPr>
              <w:t>10</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center"/>
              <w:rPr>
                <w:rFonts w:hint="eastAsia" w:ascii="方正书宋_GBK" w:hAnsi="Times New Roman" w:eastAsia="方正书宋_GBK" w:cs="Times New Roman"/>
                <w:b w:val="0"/>
                <w:bCs/>
                <w:szCs w:val="24"/>
                <w:lang w:eastAsia="zh-CN"/>
              </w:rPr>
            </w:pPr>
            <w:r>
              <w:rPr>
                <w:rFonts w:hint="eastAsia" w:ascii="方正书宋_GBK" w:hAnsi="Times New Roman" w:eastAsia="方正书宋_GBK" w:cs="Times New Roman"/>
                <w:b w:val="0"/>
                <w:bCs/>
                <w:szCs w:val="24"/>
                <w:lang w:eastAsia="zh-CN"/>
              </w:rPr>
              <w:t>福彩销售业务费</w:t>
            </w:r>
          </w:p>
        </w:tc>
        <w:tc>
          <w:tcPr>
            <w:tcW w:w="1020" w:type="dxa"/>
            <w:shd w:val="clear" w:color="auto" w:fill="auto"/>
            <w:vAlign w:val="center"/>
          </w:tcPr>
          <w:p>
            <w:pPr>
              <w:spacing w:line="300" w:lineRule="exact"/>
              <w:jc w:val="center"/>
              <w:rPr>
                <w:rFonts w:hint="default"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10</w:t>
            </w:r>
          </w:p>
        </w:tc>
        <w:tc>
          <w:tcPr>
            <w:tcW w:w="1110" w:type="dxa"/>
            <w:shd w:val="clear" w:color="auto" w:fill="auto"/>
            <w:vAlign w:val="center"/>
          </w:tcPr>
          <w:p>
            <w:pPr>
              <w:spacing w:line="300" w:lineRule="exact"/>
              <w:jc w:val="center"/>
              <w:rPr>
                <w:rFonts w:hint="eastAsia" w:ascii="方正书宋_GBK" w:hAnsi="Times New Roman" w:eastAsia="方正书宋_GBK" w:cs="Times New Roman"/>
                <w:b w:val="0"/>
                <w:bCs/>
                <w:szCs w:val="24"/>
                <w:lang w:eastAsia="zh-CN"/>
              </w:rPr>
            </w:pPr>
            <w:r>
              <w:rPr>
                <w:rFonts w:hint="eastAsia" w:ascii="方正书宋_GBK" w:hAnsi="Times New Roman" w:eastAsia="方正书宋_GBK" w:cs="Times New Roman"/>
                <w:b w:val="0"/>
                <w:bCs/>
                <w:szCs w:val="24"/>
                <w:lang w:eastAsia="zh-CN"/>
              </w:rPr>
              <w:t>捷达轿车</w:t>
            </w:r>
          </w:p>
        </w:tc>
        <w:tc>
          <w:tcPr>
            <w:tcW w:w="1620" w:type="dxa"/>
            <w:shd w:val="clear" w:color="auto" w:fill="auto"/>
            <w:vAlign w:val="center"/>
          </w:tcPr>
          <w:p>
            <w:pPr>
              <w:spacing w:line="300" w:lineRule="exact"/>
              <w:jc w:val="center"/>
              <w:rPr>
                <w:rFonts w:hint="default"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【2021】第001号</w:t>
            </w:r>
          </w:p>
        </w:tc>
        <w:tc>
          <w:tcPr>
            <w:tcW w:w="663" w:type="dxa"/>
            <w:shd w:val="clear" w:color="auto" w:fill="auto"/>
            <w:vAlign w:val="center"/>
          </w:tcPr>
          <w:p>
            <w:pPr>
              <w:spacing w:line="300" w:lineRule="exact"/>
              <w:jc w:val="center"/>
              <w:rPr>
                <w:rFonts w:hint="eastAsia" w:ascii="方正书宋_GBK" w:hAnsi="Times New Roman" w:eastAsia="方正书宋_GBK" w:cs="Times New Roman"/>
                <w:b w:val="0"/>
                <w:bCs/>
                <w:szCs w:val="24"/>
                <w:lang w:eastAsia="zh-CN"/>
              </w:rPr>
            </w:pPr>
            <w:r>
              <w:rPr>
                <w:rFonts w:hint="eastAsia" w:ascii="方正书宋_GBK" w:hAnsi="Times New Roman" w:eastAsia="方正书宋_GBK" w:cs="Times New Roman"/>
                <w:b w:val="0"/>
                <w:bCs/>
                <w:szCs w:val="24"/>
                <w:lang w:eastAsia="zh-CN"/>
              </w:rPr>
              <w:t>辆</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w:t>
            </w:r>
          </w:p>
        </w:tc>
        <w:tc>
          <w:tcPr>
            <w:tcW w:w="904" w:type="dxa"/>
            <w:shd w:val="clear" w:color="auto" w:fill="auto"/>
            <w:vAlign w:val="center"/>
          </w:tcPr>
          <w:p>
            <w:pPr>
              <w:spacing w:line="300" w:lineRule="exact"/>
              <w:jc w:val="center"/>
              <w:rPr>
                <w:rFonts w:hint="default"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10</w:t>
            </w:r>
          </w:p>
        </w:tc>
        <w:tc>
          <w:tcPr>
            <w:tcW w:w="961" w:type="dxa"/>
            <w:shd w:val="clear" w:color="auto" w:fill="auto"/>
            <w:vAlign w:val="center"/>
          </w:tcPr>
          <w:p>
            <w:pPr>
              <w:spacing w:line="300" w:lineRule="exact"/>
              <w:jc w:val="center"/>
              <w:rPr>
                <w:rFonts w:hint="default"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10</w:t>
            </w:r>
          </w:p>
        </w:tc>
        <w:tc>
          <w:tcPr>
            <w:tcW w:w="961" w:type="dxa"/>
            <w:shd w:val="clear" w:color="auto" w:fill="auto"/>
            <w:vAlign w:val="center"/>
          </w:tcPr>
          <w:p>
            <w:pPr>
              <w:spacing w:line="300" w:lineRule="exact"/>
              <w:jc w:val="center"/>
              <w:rPr>
                <w:rFonts w:ascii="方正书宋_GBK" w:hAnsi="Times New Roman" w:eastAsia="方正书宋_GBK" w:cs="Times New Roman"/>
                <w:b w:val="0"/>
                <w:bCs/>
                <w:szCs w:val="24"/>
              </w:rPr>
            </w:pPr>
          </w:p>
        </w:tc>
        <w:tc>
          <w:tcPr>
            <w:tcW w:w="961" w:type="dxa"/>
            <w:shd w:val="clear" w:color="auto" w:fill="auto"/>
            <w:vAlign w:val="center"/>
          </w:tcPr>
          <w:p>
            <w:pPr>
              <w:spacing w:line="300" w:lineRule="exact"/>
              <w:jc w:val="center"/>
              <w:rPr>
                <w:rFonts w:hint="default" w:ascii="方正书宋_GBK" w:hAnsi="Times New Roman" w:eastAsia="方正书宋_GBK" w:cs="Times New Roman"/>
                <w:b w:val="0"/>
                <w:bCs/>
                <w:szCs w:val="24"/>
                <w:lang w:val="en-US" w:eastAsia="zh-CN"/>
              </w:rPr>
            </w:pPr>
            <w:r>
              <w:rPr>
                <w:rFonts w:hint="eastAsia" w:ascii="方正书宋_GBK" w:hAnsi="Times New Roman" w:eastAsia="方正书宋_GBK" w:cs="Times New Roman"/>
                <w:b w:val="0"/>
                <w:bCs/>
                <w:szCs w:val="24"/>
                <w:lang w:val="en-US" w:eastAsia="zh-CN"/>
              </w:rPr>
              <w:t>10</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ascii="方正书宋_GBK" w:hAnsi="Times New Roman" w:eastAsia="方正书宋_GBK" w:cs="Times New Roman"/>
                <w:b/>
                <w:szCs w:val="24"/>
              </w:rPr>
            </w:pPr>
          </w:p>
        </w:tc>
        <w:tc>
          <w:tcPr>
            <w:tcW w:w="1020" w:type="dxa"/>
            <w:shd w:val="clear" w:color="auto" w:fill="auto"/>
            <w:vAlign w:val="center"/>
          </w:tcPr>
          <w:p>
            <w:pPr>
              <w:spacing w:line="300" w:lineRule="exact"/>
              <w:jc w:val="right"/>
              <w:rPr>
                <w:rFonts w:ascii="方正书宋_GBK" w:hAnsi="Times New Roman" w:eastAsia="方正书宋_GBK" w:cs="Times New Roman"/>
                <w:b/>
                <w:szCs w:val="24"/>
              </w:rPr>
            </w:pPr>
          </w:p>
        </w:tc>
        <w:tc>
          <w:tcPr>
            <w:tcW w:w="1110" w:type="dxa"/>
            <w:shd w:val="clear" w:color="auto" w:fill="auto"/>
            <w:vAlign w:val="center"/>
          </w:tcPr>
          <w:p>
            <w:pPr>
              <w:spacing w:line="300" w:lineRule="exact"/>
              <w:jc w:val="left"/>
              <w:rPr>
                <w:rFonts w:ascii="方正书宋_GBK" w:hAnsi="Times New Roman" w:eastAsia="方正书宋_GBK" w:cs="Times New Roman"/>
                <w:b/>
                <w:szCs w:val="24"/>
              </w:rPr>
            </w:pPr>
          </w:p>
        </w:tc>
        <w:tc>
          <w:tcPr>
            <w:tcW w:w="1620" w:type="dxa"/>
            <w:shd w:val="clear" w:color="auto" w:fill="auto"/>
            <w:vAlign w:val="center"/>
          </w:tcPr>
          <w:p>
            <w:pPr>
              <w:spacing w:line="300" w:lineRule="exact"/>
              <w:jc w:val="left"/>
              <w:rPr>
                <w:rFonts w:ascii="方正书宋_GBK" w:hAnsi="Times New Roman" w:eastAsia="方正书宋_GBK" w:cs="Times New Roman"/>
                <w:b/>
                <w:szCs w:val="24"/>
              </w:rPr>
            </w:pPr>
          </w:p>
        </w:tc>
        <w:tc>
          <w:tcPr>
            <w:tcW w:w="663"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福利彩票发行管理中心</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16.01</w:t>
      </w:r>
      <w:r>
        <w:rPr>
          <w:rFonts w:hint="eastAsia" w:ascii="仿宋_GB2312" w:hAnsi="黑体" w:eastAsia="仿宋_GB2312" w:cs="Times New Roman"/>
          <w:sz w:val="32"/>
          <w:szCs w:val="32"/>
        </w:rPr>
        <w:t>万元（详见下表）。</w:t>
      </w:r>
      <w:r>
        <w:rPr>
          <w:rFonts w:hint="eastAsia" w:ascii="仿宋_GB2312" w:hAnsi="黑体" w:eastAsia="仿宋_GB2312" w:cs="Times New Roman"/>
          <w:b w:val="0"/>
          <w:bCs/>
          <w:color w:val="auto"/>
          <w:sz w:val="32"/>
          <w:szCs w:val="32"/>
        </w:rPr>
        <w:t>本年度各单位（处室）拟购置固定资产总额</w:t>
      </w:r>
      <w:r>
        <w:rPr>
          <w:rFonts w:ascii="仿宋_GB2312" w:hAnsi="黑体" w:eastAsia="仿宋_GB2312" w:cs="Times New Roman"/>
          <w:b w:val="0"/>
          <w:bCs/>
          <w:color w:val="auto"/>
          <w:sz w:val="32"/>
          <w:szCs w:val="32"/>
        </w:rPr>
        <w:t>为</w:t>
      </w:r>
      <w:r>
        <w:rPr>
          <w:rFonts w:hint="eastAsia" w:ascii="仿宋_GB2312" w:hAnsi="黑体" w:eastAsia="仿宋_GB2312" w:cs="Times New Roman"/>
          <w:b w:val="0"/>
          <w:bCs/>
          <w:color w:val="auto"/>
          <w:sz w:val="32"/>
          <w:szCs w:val="32"/>
          <w:lang w:val="en-US" w:eastAsia="zh-CN"/>
        </w:rPr>
        <w:t>10</w:t>
      </w:r>
      <w:r>
        <w:rPr>
          <w:rFonts w:ascii="仿宋_GB2312" w:hAnsi="黑体" w:eastAsia="仿宋_GB2312" w:cs="Times New Roman"/>
          <w:b w:val="0"/>
          <w:bCs/>
          <w:color w:val="auto"/>
          <w:sz w:val="32"/>
          <w:szCs w:val="32"/>
        </w:rPr>
        <w:t>万元</w:t>
      </w:r>
      <w:r>
        <w:rPr>
          <w:rFonts w:hint="eastAsia" w:ascii="仿宋_GB2312" w:hAnsi="黑体" w:eastAsia="仿宋_GB2312" w:cs="Times New Roman"/>
          <w:b w:val="0"/>
          <w:bCs/>
          <w:color w:val="auto"/>
          <w:sz w:val="32"/>
          <w:szCs w:val="32"/>
        </w:rPr>
        <w:t>，主要为</w:t>
      </w:r>
      <w:r>
        <w:rPr>
          <w:rFonts w:hint="eastAsia" w:ascii="仿宋_GB2312" w:hAnsi="黑体" w:eastAsia="仿宋_GB2312" w:cs="Times New Roman"/>
          <w:b w:val="0"/>
          <w:bCs/>
          <w:color w:val="auto"/>
          <w:sz w:val="32"/>
          <w:szCs w:val="32"/>
          <w:lang w:eastAsia="zh-CN"/>
        </w:rPr>
        <w:t>公务车换新</w:t>
      </w:r>
      <w:r>
        <w:rPr>
          <w:rFonts w:hint="eastAsia" w:ascii="仿宋_GB2312" w:hAnsi="黑体" w:eastAsia="仿宋_GB2312" w:cs="Times New Roman"/>
          <w:b w:val="0"/>
          <w:bCs/>
          <w:color w:val="auto"/>
          <w:sz w:val="32"/>
          <w:szCs w:val="32"/>
        </w:rPr>
        <w:t>，已列入政府采购预算，详见政府采购</w:t>
      </w:r>
      <w:r>
        <w:rPr>
          <w:rFonts w:ascii="仿宋_GB2312" w:hAnsi="黑体" w:eastAsia="仿宋_GB2312" w:cs="Times New Roman"/>
          <w:b w:val="0"/>
          <w:bCs/>
          <w:color w:val="auto"/>
          <w:sz w:val="32"/>
          <w:szCs w:val="32"/>
        </w:rPr>
        <w:t>预算表</w:t>
      </w:r>
      <w:r>
        <w:rPr>
          <w:rFonts w:hint="eastAsia" w:ascii="仿宋_GB2312" w:hAnsi="黑体" w:eastAsia="仿宋_GB2312" w:cs="Times New Roman"/>
          <w:b w:val="0"/>
          <w:bCs/>
          <w:color w:val="auto"/>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highlight w:val="none"/>
                <w:lang w:eastAsia="zh-CN"/>
              </w:rPr>
              <w:t>福利彩票发行管理中心</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eastAsia="宋体" w:cs="宋体"/>
                <w:kern w:val="0"/>
                <w:sz w:val="22"/>
                <w:highlight w:val="none"/>
                <w:lang w:val="en-US" w:eastAsia="zh-CN"/>
              </w:rPr>
              <w:t>451</w:t>
            </w:r>
            <w:r>
              <w:rPr>
                <w:rFonts w:hint="eastAsia" w:ascii="宋体" w:hAnsi="宋体" w:eastAsia="宋体" w:cs="宋体"/>
                <w:kern w:val="0"/>
                <w:sz w:val="22"/>
                <w:highlight w:val="none"/>
              </w:rPr>
              <w:t>霸州市</w:t>
            </w:r>
            <w:r>
              <w:rPr>
                <w:rFonts w:hint="eastAsia" w:ascii="宋体" w:hAnsi="宋体" w:eastAsia="宋体" w:cs="宋体"/>
                <w:kern w:val="0"/>
                <w:sz w:val="22"/>
                <w:highlight w:val="none"/>
                <w:lang w:eastAsia="zh-CN"/>
              </w:rPr>
              <w:t>福利彩票发行管理中心</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16.01</w:t>
            </w:r>
            <w:bookmarkStart w:id="4" w:name="_GoBack"/>
            <w:bookmarkEnd w:id="4"/>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16.01</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w:t>
      </w:r>
      <w:r>
        <w:rPr>
          <w:rFonts w:hint="eastAsia" w:ascii="仿宋_GB2312" w:hAnsi="黑体" w:eastAsia="仿宋_GB2312" w:cs="Times New Roman"/>
          <w:sz w:val="32"/>
          <w:szCs w:val="32"/>
          <w:highlight w:val="none"/>
        </w:rPr>
        <w:t>机关运行费：</w:t>
      </w:r>
      <w:r>
        <w:rPr>
          <w:rFonts w:hint="eastAsia" w:ascii="仿宋_GB2312" w:hAnsi="黑体" w:eastAsia="仿宋_GB2312" w:cs="Times New Roman"/>
          <w:sz w:val="32"/>
          <w:szCs w:val="32"/>
          <w:lang w:val="en-US" w:eastAsia="zh-CN"/>
        </w:rPr>
        <w:t>是指各部门的公用经费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FAF52"/>
    <w:multiLevelType w:val="singleLevel"/>
    <w:tmpl w:val="949FAF52"/>
    <w:lvl w:ilvl="0" w:tentative="0">
      <w:start w:val="1"/>
      <w:numFmt w:val="decimal"/>
      <w:suff w:val="nothing"/>
      <w:lvlText w:val="%1、"/>
      <w:lvlJc w:val="left"/>
    </w:lvl>
  </w:abstractNum>
  <w:abstractNum w:abstractNumId="1">
    <w:nsid w:val="4EB9288C"/>
    <w:multiLevelType w:val="singleLevel"/>
    <w:tmpl w:val="4EB9288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EwZjc2YTgxNmI4NjNmM2I1NGZhZTI4MDgwMDQ2MDM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11E6718E"/>
    <w:rsid w:val="172F7DF3"/>
    <w:rsid w:val="1CB42FF1"/>
    <w:rsid w:val="1EDE398D"/>
    <w:rsid w:val="1FD021EE"/>
    <w:rsid w:val="2054547A"/>
    <w:rsid w:val="20591F1C"/>
    <w:rsid w:val="22886D32"/>
    <w:rsid w:val="258172A6"/>
    <w:rsid w:val="25843B26"/>
    <w:rsid w:val="29E45F31"/>
    <w:rsid w:val="2B2E3B3F"/>
    <w:rsid w:val="33AB5E88"/>
    <w:rsid w:val="3CCF07C1"/>
    <w:rsid w:val="3E2C5EEE"/>
    <w:rsid w:val="40CB512C"/>
    <w:rsid w:val="41EC20D3"/>
    <w:rsid w:val="425C23C2"/>
    <w:rsid w:val="4A1B62A3"/>
    <w:rsid w:val="4B781903"/>
    <w:rsid w:val="4F786E4E"/>
    <w:rsid w:val="55E155BE"/>
    <w:rsid w:val="5A6207DD"/>
    <w:rsid w:val="5F813A91"/>
    <w:rsid w:val="63502E38"/>
    <w:rsid w:val="65F22C3E"/>
    <w:rsid w:val="6F905D08"/>
    <w:rsid w:val="71F64B87"/>
    <w:rsid w:val="72FA224A"/>
    <w:rsid w:val="7563635A"/>
    <w:rsid w:val="7807775C"/>
    <w:rsid w:val="7BBC015A"/>
    <w:rsid w:val="7C641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 w:type="paragraph" w:customStyle="1" w:styleId="14">
    <w:name w:val="[Normal]"/>
    <w:uiPriority w:val="6"/>
    <w:rPr>
      <w:rFonts w:ascii="宋体" w:hAnsi="宋体" w:eastAsia="宋体" w:cstheme="minorBidi"/>
      <w:color w:val="auto"/>
      <w:position w:val="0"/>
      <w:sz w:val="24"/>
      <w:u w:val="none"/>
      <w:shd w:val="clear" w:color="auto" w:fill="auto"/>
      <w:lang w:val="en-US" w:eastAsia="en-US" w:bidi="ar-SA"/>
    </w:rPr>
  </w:style>
  <w:style w:type="paragraph" w:customStyle="1" w:styleId="15">
    <w:name w:val="Normal"/>
    <w:basedOn w:val="14"/>
    <w:uiPriority w:val="7"/>
    <w:pPr>
      <w:widowControl/>
      <w:jc w:val="both"/>
    </w:pPr>
    <w:rPr>
      <w:rFonts w:ascii="Times New Roman" w:hAnsi="Times New Roman" w:eastAsia="Times New Roman"/>
      <w:sz w:val="21"/>
    </w:rPr>
  </w:style>
  <w:style w:type="character" w:customStyle="1" w:styleId="16">
    <w:name w:val="18"/>
    <w:basedOn w:val="8"/>
    <w:qFormat/>
    <w:uiPriority w:val="0"/>
    <w:rPr>
      <w:rFonts w:ascii="Times New Roman" w:hAnsi="Times New Roman" w:eastAsia="Times New Roman"/>
      <w:sz w:val="32"/>
    </w:rPr>
  </w:style>
  <w:style w:type="paragraph" w:customStyle="1" w:styleId="17">
    <w:name w:val="索引 91"/>
    <w:basedOn w:val="15"/>
    <w:qFormat/>
    <w:uiPriority w:val="2"/>
    <w:pPr>
      <w:ind w:left="16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4</TotalTime>
  <ScaleCrop>false</ScaleCrop>
  <LinksUpToDate>false</LinksUpToDate>
  <CharactersWithSpaces>3329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Πραγματικότη</cp:lastModifiedBy>
  <cp:lastPrinted>2018-02-28T01:51:00Z</cp:lastPrinted>
  <dcterms:modified xsi:type="dcterms:W3CDTF">2022-09-06T01:39:41Z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ABB00BA39FA94CE1940E0B460CCB3D96</vt:lpwstr>
  </property>
</Properties>
</file>